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0E94B" w14:textId="77777777" w:rsidR="006E2292" w:rsidRPr="00520E2C" w:rsidRDefault="006E2292" w:rsidP="006E2292">
      <w:pPr>
        <w:pStyle w:val="NoSpacing"/>
        <w:rPr>
          <w:sz w:val="24"/>
          <w:szCs w:val="24"/>
        </w:rPr>
      </w:pPr>
      <w:r w:rsidRPr="00520E2C">
        <w:rPr>
          <w:sz w:val="24"/>
          <w:szCs w:val="24"/>
        </w:rPr>
        <w:t>Andrea Farmer</w:t>
      </w:r>
    </w:p>
    <w:p w14:paraId="02729DAB" w14:textId="77777777" w:rsidR="006E2292" w:rsidRPr="00520E2C" w:rsidRDefault="006E2292" w:rsidP="006E2292">
      <w:pPr>
        <w:pStyle w:val="NoSpacing"/>
        <w:rPr>
          <w:sz w:val="24"/>
          <w:szCs w:val="24"/>
        </w:rPr>
      </w:pPr>
      <w:r w:rsidRPr="00520E2C">
        <w:rPr>
          <w:sz w:val="24"/>
          <w:szCs w:val="24"/>
        </w:rPr>
        <w:t>Chief, Community Meals Branch</w:t>
      </w:r>
    </w:p>
    <w:p w14:paraId="02175E2D" w14:textId="77777777" w:rsidR="006E2292" w:rsidRPr="00520E2C" w:rsidRDefault="006E2292" w:rsidP="006E2292">
      <w:pPr>
        <w:pStyle w:val="NoSpacing"/>
        <w:rPr>
          <w:sz w:val="24"/>
          <w:szCs w:val="24"/>
        </w:rPr>
      </w:pPr>
      <w:r w:rsidRPr="00520E2C">
        <w:rPr>
          <w:sz w:val="24"/>
          <w:szCs w:val="24"/>
        </w:rPr>
        <w:t>Policy and Program Development Division</w:t>
      </w:r>
    </w:p>
    <w:p w14:paraId="5584888A" w14:textId="77777777" w:rsidR="006E2292" w:rsidRPr="00520E2C" w:rsidRDefault="006E2292" w:rsidP="006E2292">
      <w:pPr>
        <w:pStyle w:val="NoSpacing"/>
        <w:rPr>
          <w:sz w:val="24"/>
          <w:szCs w:val="24"/>
        </w:rPr>
      </w:pPr>
      <w:r w:rsidRPr="00520E2C">
        <w:rPr>
          <w:sz w:val="24"/>
          <w:szCs w:val="24"/>
        </w:rPr>
        <w:t>USDA Food and Nutrition Services</w:t>
      </w:r>
    </w:p>
    <w:p w14:paraId="5876FCB4" w14:textId="77777777" w:rsidR="006E2292" w:rsidRPr="00520E2C" w:rsidRDefault="006E2292" w:rsidP="007C10EE">
      <w:pPr>
        <w:pStyle w:val="NoSpacing"/>
        <w:tabs>
          <w:tab w:val="left" w:pos="1269"/>
        </w:tabs>
        <w:rPr>
          <w:sz w:val="24"/>
          <w:szCs w:val="24"/>
        </w:rPr>
      </w:pPr>
      <w:r w:rsidRPr="00520E2C">
        <w:rPr>
          <w:sz w:val="24"/>
          <w:szCs w:val="24"/>
        </w:rPr>
        <w:t>3101 Park Center Drive</w:t>
      </w:r>
    </w:p>
    <w:p w14:paraId="67C97123" w14:textId="77777777" w:rsidR="006E2292" w:rsidRPr="00520E2C" w:rsidRDefault="006E2292" w:rsidP="006E2292">
      <w:pPr>
        <w:pStyle w:val="NoSpacing"/>
        <w:rPr>
          <w:sz w:val="24"/>
          <w:szCs w:val="24"/>
        </w:rPr>
      </w:pPr>
      <w:r w:rsidRPr="00520E2C">
        <w:rPr>
          <w:sz w:val="24"/>
          <w:szCs w:val="24"/>
        </w:rPr>
        <w:t>Alexandria, VA 22302</w:t>
      </w:r>
    </w:p>
    <w:p w14:paraId="36062D33" w14:textId="77777777" w:rsidR="006E2292" w:rsidRPr="00520E2C" w:rsidRDefault="006E2292" w:rsidP="006E2292">
      <w:pPr>
        <w:pStyle w:val="NoSpacing"/>
        <w:rPr>
          <w:sz w:val="24"/>
          <w:szCs w:val="24"/>
        </w:rPr>
      </w:pPr>
      <w:bookmarkStart w:id="0" w:name="_GoBack"/>
      <w:bookmarkEnd w:id="0"/>
    </w:p>
    <w:p w14:paraId="2600BD12" w14:textId="77777777" w:rsidR="006E2292" w:rsidRPr="00520E2C" w:rsidRDefault="006E2292" w:rsidP="006E2292">
      <w:pPr>
        <w:pStyle w:val="NoSpacing"/>
        <w:rPr>
          <w:sz w:val="24"/>
          <w:szCs w:val="24"/>
        </w:rPr>
      </w:pPr>
    </w:p>
    <w:p w14:paraId="05621038" w14:textId="77777777" w:rsidR="006E2292" w:rsidRPr="00520E2C" w:rsidRDefault="006E2292" w:rsidP="006E2292">
      <w:pPr>
        <w:pStyle w:val="NoSpacing"/>
        <w:rPr>
          <w:b/>
          <w:sz w:val="24"/>
          <w:szCs w:val="24"/>
        </w:rPr>
      </w:pPr>
      <w:r w:rsidRPr="00520E2C">
        <w:rPr>
          <w:b/>
          <w:sz w:val="24"/>
          <w:szCs w:val="24"/>
        </w:rPr>
        <w:t>RE: Increasing Flexibility for Verification of For-Profit Center Eligibility in the Child and Adult Care Food Program</w:t>
      </w:r>
    </w:p>
    <w:p w14:paraId="1E14DC0F" w14:textId="77777777" w:rsidR="006E2292" w:rsidRPr="00520E2C" w:rsidRDefault="006E2292" w:rsidP="006E2292">
      <w:pPr>
        <w:pStyle w:val="NoSpacing"/>
        <w:rPr>
          <w:b/>
          <w:sz w:val="24"/>
          <w:szCs w:val="24"/>
        </w:rPr>
      </w:pPr>
    </w:p>
    <w:p w14:paraId="214AE944" w14:textId="26634D60" w:rsidR="006E2292" w:rsidRPr="00520E2C" w:rsidRDefault="00F17CAF" w:rsidP="006E2292">
      <w:pPr>
        <w:pStyle w:val="NoSpacing"/>
        <w:rPr>
          <w:sz w:val="24"/>
          <w:szCs w:val="24"/>
        </w:rPr>
      </w:pPr>
      <w:r>
        <w:rPr>
          <w:sz w:val="24"/>
          <w:szCs w:val="24"/>
        </w:rPr>
        <w:t>Dear Ms. Farmer:</w:t>
      </w:r>
    </w:p>
    <w:p w14:paraId="25FAA2DF" w14:textId="2A3AB091" w:rsidR="006E2292" w:rsidRPr="00520E2C" w:rsidRDefault="005E749B" w:rsidP="006E2292">
      <w:pPr>
        <w:pStyle w:val="NoSpacing"/>
        <w:rPr>
          <w:rFonts w:ascii="Calibri" w:hAnsi="Calibri"/>
          <w:color w:val="000000"/>
          <w:sz w:val="24"/>
          <w:szCs w:val="24"/>
        </w:rPr>
      </w:pPr>
      <w:r>
        <w:rPr>
          <w:rFonts w:ascii="Calibri" w:hAnsi="Calibri"/>
          <w:color w:val="000000"/>
          <w:sz w:val="24"/>
          <w:szCs w:val="24"/>
        </w:rPr>
        <w:t>T</w:t>
      </w:r>
      <w:r w:rsidR="00826B0F" w:rsidRPr="005E749B">
        <w:rPr>
          <w:rFonts w:ascii="Calibri" w:hAnsi="Calibri"/>
          <w:color w:val="000000"/>
          <w:sz w:val="24"/>
          <w:szCs w:val="24"/>
        </w:rPr>
        <w:t xml:space="preserve">hank you for this opportunity to comment on </w:t>
      </w:r>
      <w:r>
        <w:rPr>
          <w:rFonts w:ascii="Calibri" w:hAnsi="Calibri"/>
          <w:color w:val="000000"/>
          <w:sz w:val="24"/>
          <w:szCs w:val="24"/>
        </w:rPr>
        <w:t>USDA’s</w:t>
      </w:r>
      <w:r w:rsidR="006E2292" w:rsidRPr="005E749B">
        <w:rPr>
          <w:rFonts w:ascii="Calibri" w:hAnsi="Calibri"/>
          <w:color w:val="000000"/>
          <w:sz w:val="24"/>
          <w:szCs w:val="24"/>
        </w:rPr>
        <w:t xml:space="preserve"> proposed rule, “</w:t>
      </w:r>
      <w:r w:rsidR="006E2292" w:rsidRPr="005E749B">
        <w:rPr>
          <w:sz w:val="24"/>
          <w:szCs w:val="24"/>
        </w:rPr>
        <w:t>Increasing Flexibility for Verification of For-Profit Center Eligibility in the Child and Adult Care Food Program</w:t>
      </w:r>
      <w:r w:rsidR="006E2292" w:rsidRPr="005E749B">
        <w:rPr>
          <w:rFonts w:ascii="Calibri" w:hAnsi="Calibri"/>
          <w:color w:val="000000"/>
          <w:sz w:val="24"/>
          <w:szCs w:val="24"/>
        </w:rPr>
        <w:t>” (7 CFR Part 226 FNS-2018-0009).</w:t>
      </w:r>
      <w:r w:rsidR="006E2292" w:rsidRPr="00520E2C">
        <w:rPr>
          <w:rFonts w:ascii="Calibri" w:hAnsi="Calibri"/>
          <w:color w:val="000000"/>
          <w:sz w:val="24"/>
          <w:szCs w:val="24"/>
        </w:rPr>
        <w:t xml:space="preserve"> </w:t>
      </w:r>
    </w:p>
    <w:p w14:paraId="1B46FA37" w14:textId="77777777" w:rsidR="00826B0F" w:rsidRPr="00520E2C" w:rsidRDefault="00826B0F" w:rsidP="00826B0F">
      <w:pPr>
        <w:pStyle w:val="NoSpacing"/>
        <w:rPr>
          <w:sz w:val="24"/>
          <w:szCs w:val="24"/>
        </w:rPr>
      </w:pPr>
    </w:p>
    <w:p w14:paraId="0CF9C21C" w14:textId="42BE8410" w:rsidR="007C10EE" w:rsidRDefault="00A478EB" w:rsidP="00A478EB">
      <w:pPr>
        <w:pStyle w:val="NoSpacing"/>
        <w:rPr>
          <w:sz w:val="24"/>
          <w:szCs w:val="24"/>
        </w:rPr>
      </w:pPr>
      <w:bookmarkStart w:id="1" w:name="_Hlk531176027"/>
      <w:r w:rsidRPr="00A478EB">
        <w:rPr>
          <w:sz w:val="24"/>
          <w:szCs w:val="24"/>
        </w:rPr>
        <w:t>We appreciate USDA’s effort to implement the Paperwork Reduction Work Group verification and payment reco</w:t>
      </w:r>
      <w:r w:rsidR="00175B8C">
        <w:rPr>
          <w:sz w:val="24"/>
          <w:szCs w:val="24"/>
        </w:rPr>
        <w:t xml:space="preserve">mmendations through this rule. </w:t>
      </w:r>
      <w:r>
        <w:rPr>
          <w:sz w:val="24"/>
          <w:szCs w:val="24"/>
        </w:rPr>
        <w:t>W</w:t>
      </w:r>
      <w:r w:rsidR="002B6258" w:rsidRPr="00520E2C">
        <w:rPr>
          <w:sz w:val="24"/>
          <w:szCs w:val="24"/>
        </w:rPr>
        <w:t xml:space="preserve">e believe substantial improvements </w:t>
      </w:r>
      <w:r w:rsidR="00546B9D" w:rsidRPr="00520E2C">
        <w:rPr>
          <w:sz w:val="24"/>
          <w:szCs w:val="24"/>
        </w:rPr>
        <w:t>will be</w:t>
      </w:r>
      <w:r w:rsidR="002B6258" w:rsidRPr="00520E2C">
        <w:rPr>
          <w:sz w:val="24"/>
          <w:szCs w:val="24"/>
        </w:rPr>
        <w:t xml:space="preserve"> needed before the rule can effectively </w:t>
      </w:r>
      <w:r w:rsidR="00175B8C">
        <w:rPr>
          <w:sz w:val="24"/>
          <w:szCs w:val="24"/>
        </w:rPr>
        <w:t>reach</w:t>
      </w:r>
      <w:r w:rsidR="002B6258" w:rsidRPr="00520E2C">
        <w:rPr>
          <w:sz w:val="24"/>
          <w:szCs w:val="24"/>
        </w:rPr>
        <w:t xml:space="preserve"> the int</w:t>
      </w:r>
      <w:r w:rsidR="00175B8C">
        <w:rPr>
          <w:sz w:val="24"/>
          <w:szCs w:val="24"/>
        </w:rPr>
        <w:t>ended paperwork reduction goals and the estimated deregulatory impact.</w:t>
      </w:r>
      <w:r w:rsidR="002B6258" w:rsidRPr="00520E2C">
        <w:rPr>
          <w:sz w:val="24"/>
          <w:szCs w:val="24"/>
        </w:rPr>
        <w:t xml:space="preserve"> </w:t>
      </w:r>
      <w:r>
        <w:rPr>
          <w:sz w:val="24"/>
          <w:szCs w:val="24"/>
        </w:rPr>
        <w:t xml:space="preserve"> </w:t>
      </w:r>
      <w:bookmarkEnd w:id="1"/>
      <w:r w:rsidR="00272CF3" w:rsidRPr="00520E2C">
        <w:rPr>
          <w:sz w:val="24"/>
          <w:szCs w:val="24"/>
        </w:rPr>
        <w:t>Our</w:t>
      </w:r>
      <w:r w:rsidR="0002713C" w:rsidRPr="00520E2C">
        <w:rPr>
          <w:sz w:val="24"/>
          <w:szCs w:val="24"/>
        </w:rPr>
        <w:t xml:space="preserve"> comments address USDA</w:t>
      </w:r>
      <w:r w:rsidR="002A3B96" w:rsidRPr="00520E2C">
        <w:rPr>
          <w:sz w:val="24"/>
          <w:szCs w:val="24"/>
        </w:rPr>
        <w:t>’s</w:t>
      </w:r>
      <w:r w:rsidR="0002713C" w:rsidRPr="00520E2C">
        <w:rPr>
          <w:sz w:val="24"/>
          <w:szCs w:val="24"/>
        </w:rPr>
        <w:t xml:space="preserve"> </w:t>
      </w:r>
      <w:r w:rsidR="004860AB">
        <w:rPr>
          <w:sz w:val="24"/>
          <w:szCs w:val="24"/>
        </w:rPr>
        <w:t xml:space="preserve">request for feedback </w:t>
      </w:r>
      <w:r w:rsidR="0002713C" w:rsidRPr="00520E2C">
        <w:rPr>
          <w:sz w:val="24"/>
          <w:szCs w:val="24"/>
        </w:rPr>
        <w:t xml:space="preserve">and provide </w:t>
      </w:r>
      <w:r w:rsidR="00546B9D" w:rsidRPr="00520E2C">
        <w:rPr>
          <w:sz w:val="24"/>
          <w:szCs w:val="24"/>
        </w:rPr>
        <w:t xml:space="preserve">the following </w:t>
      </w:r>
      <w:r w:rsidR="0002713C" w:rsidRPr="00520E2C">
        <w:rPr>
          <w:sz w:val="24"/>
          <w:szCs w:val="24"/>
        </w:rPr>
        <w:t>recom</w:t>
      </w:r>
      <w:r w:rsidR="00272CF3" w:rsidRPr="00520E2C">
        <w:rPr>
          <w:sz w:val="24"/>
          <w:szCs w:val="24"/>
        </w:rPr>
        <w:t>mendations for s</w:t>
      </w:r>
      <w:r w:rsidR="00546B9D" w:rsidRPr="00520E2C">
        <w:rPr>
          <w:sz w:val="24"/>
          <w:szCs w:val="24"/>
        </w:rPr>
        <w:t>trengthening the proposed rule:</w:t>
      </w:r>
      <w:r w:rsidR="00272CF3" w:rsidRPr="00520E2C">
        <w:rPr>
          <w:sz w:val="24"/>
          <w:szCs w:val="24"/>
        </w:rPr>
        <w:t xml:space="preserve">  </w:t>
      </w:r>
    </w:p>
    <w:p w14:paraId="6D4C28A8" w14:textId="77777777" w:rsidR="00F17CAF" w:rsidRPr="00F17CAF" w:rsidRDefault="00F17CAF" w:rsidP="00F17CAF">
      <w:pPr>
        <w:pStyle w:val="NoSpacing"/>
        <w:rPr>
          <w:sz w:val="24"/>
          <w:szCs w:val="24"/>
        </w:rPr>
      </w:pPr>
    </w:p>
    <w:p w14:paraId="1DC0B95B" w14:textId="77777777" w:rsidR="00F17CAF" w:rsidRPr="00F17CAF" w:rsidRDefault="00F17CAF" w:rsidP="00F17CAF">
      <w:pPr>
        <w:pStyle w:val="NoSpacing"/>
        <w:ind w:left="360"/>
        <w:rPr>
          <w:sz w:val="24"/>
          <w:szCs w:val="24"/>
        </w:rPr>
      </w:pPr>
      <w:r w:rsidRPr="00F17CAF">
        <w:rPr>
          <w:sz w:val="24"/>
          <w:szCs w:val="24"/>
        </w:rPr>
        <w:t>I. Establishing Annual Eligibility Determinations for For-Profit Centers Serving High Numbers of Low-Income Children:</w:t>
      </w:r>
    </w:p>
    <w:p w14:paraId="0593A982" w14:textId="1AFC8637" w:rsidR="00F17CAF" w:rsidRPr="00F17CAF" w:rsidRDefault="00F17CAF" w:rsidP="00F17CAF">
      <w:pPr>
        <w:pStyle w:val="NoSpacing"/>
        <w:numPr>
          <w:ilvl w:val="0"/>
          <w:numId w:val="15"/>
        </w:numPr>
        <w:ind w:left="1080"/>
        <w:rPr>
          <w:sz w:val="24"/>
          <w:szCs w:val="24"/>
        </w:rPr>
      </w:pPr>
      <w:r w:rsidRPr="00F17CAF">
        <w:rPr>
          <w:sz w:val="24"/>
          <w:szCs w:val="24"/>
        </w:rPr>
        <w:t>Expand the proposed new annual eligibility for for-profit centers by allowing for-profit centers serving 40 percent or more low-income children to qualify for annual eligibility and dropping the proposed 50 percent requirement.</w:t>
      </w:r>
    </w:p>
    <w:p w14:paraId="0CDAA4B7" w14:textId="11F03D4F" w:rsidR="00F17CAF" w:rsidRPr="00F17CAF" w:rsidRDefault="00F17CAF" w:rsidP="00F17CAF">
      <w:pPr>
        <w:pStyle w:val="NoSpacing"/>
        <w:numPr>
          <w:ilvl w:val="0"/>
          <w:numId w:val="15"/>
        </w:numPr>
        <w:ind w:left="1080"/>
        <w:rPr>
          <w:sz w:val="24"/>
          <w:szCs w:val="24"/>
        </w:rPr>
      </w:pPr>
      <w:r w:rsidRPr="00F17CAF">
        <w:rPr>
          <w:sz w:val="24"/>
          <w:szCs w:val="24"/>
        </w:rPr>
        <w:t>Allow for-profit centers qualifying for annual eligibility to claim for reimbursement without additional monthly eligibility determinations or reporting requirements.</w:t>
      </w:r>
    </w:p>
    <w:p w14:paraId="3AEDB4B5" w14:textId="77777777" w:rsidR="00F17CAF" w:rsidRPr="00F17CAF" w:rsidRDefault="00F17CAF" w:rsidP="00F17CAF">
      <w:pPr>
        <w:pStyle w:val="NoSpacing"/>
        <w:ind w:left="360"/>
        <w:rPr>
          <w:sz w:val="24"/>
          <w:szCs w:val="24"/>
        </w:rPr>
      </w:pPr>
    </w:p>
    <w:p w14:paraId="4C3A4E62" w14:textId="77777777" w:rsidR="00F17CAF" w:rsidRPr="00F17CAF" w:rsidRDefault="00F17CAF" w:rsidP="00F17CAF">
      <w:pPr>
        <w:pStyle w:val="NoSpacing"/>
        <w:ind w:left="360"/>
        <w:rPr>
          <w:sz w:val="24"/>
          <w:szCs w:val="24"/>
        </w:rPr>
      </w:pPr>
      <w:r w:rsidRPr="00F17CAF">
        <w:rPr>
          <w:sz w:val="24"/>
          <w:szCs w:val="24"/>
        </w:rPr>
        <w:t>II.  Program Payments: Assignment of Reimbursement Rates for Centers:</w:t>
      </w:r>
    </w:p>
    <w:p w14:paraId="73DDDC24" w14:textId="55AC109E" w:rsidR="00F17CAF" w:rsidRPr="00F17CAF" w:rsidRDefault="00F17CAF" w:rsidP="00F17CAF">
      <w:pPr>
        <w:pStyle w:val="NoSpacing"/>
        <w:numPr>
          <w:ilvl w:val="0"/>
          <w:numId w:val="12"/>
        </w:numPr>
        <w:ind w:left="1080"/>
        <w:rPr>
          <w:sz w:val="24"/>
          <w:szCs w:val="24"/>
        </w:rPr>
      </w:pPr>
      <w:r w:rsidRPr="00F17CAF">
        <w:rPr>
          <w:sz w:val="24"/>
          <w:szCs w:val="24"/>
        </w:rPr>
        <w:t>Allow all centers the option to use an annual blended rate.</w:t>
      </w:r>
    </w:p>
    <w:p w14:paraId="2153496A" w14:textId="5332A138" w:rsidR="00F17CAF" w:rsidRPr="00F17CAF" w:rsidRDefault="00F17CAF" w:rsidP="00F17CAF">
      <w:pPr>
        <w:pStyle w:val="NoSpacing"/>
        <w:numPr>
          <w:ilvl w:val="0"/>
          <w:numId w:val="12"/>
        </w:numPr>
        <w:ind w:left="1080"/>
        <w:rPr>
          <w:sz w:val="24"/>
          <w:szCs w:val="24"/>
        </w:rPr>
      </w:pPr>
      <w:r w:rsidRPr="00F17CAF">
        <w:rPr>
          <w:sz w:val="24"/>
          <w:szCs w:val="24"/>
        </w:rPr>
        <w:t xml:space="preserve">Allow all centers the option of amending the annual blended rate more frequently than annually. </w:t>
      </w:r>
    </w:p>
    <w:p w14:paraId="1334368F" w14:textId="7259BBA3" w:rsidR="00F17CAF" w:rsidRPr="00F17CAF" w:rsidRDefault="00F17CAF" w:rsidP="00F17CAF">
      <w:pPr>
        <w:pStyle w:val="NoSpacing"/>
        <w:numPr>
          <w:ilvl w:val="0"/>
          <w:numId w:val="12"/>
        </w:numPr>
        <w:ind w:left="1080"/>
        <w:rPr>
          <w:sz w:val="24"/>
          <w:szCs w:val="24"/>
        </w:rPr>
      </w:pPr>
      <w:r w:rsidRPr="00F17CAF">
        <w:rPr>
          <w:sz w:val="24"/>
          <w:szCs w:val="24"/>
        </w:rPr>
        <w:t xml:space="preserve">Provide State agencies clear guidance on the implementation of annual blended rates and adjustments: emphasize the importance of practical and reasonable review policies and prohibit punitive policies which automatically generate increased scrutiny on centers making adjustments.   </w:t>
      </w:r>
    </w:p>
    <w:p w14:paraId="551DD7A0" w14:textId="2185A10A" w:rsidR="00F17CAF" w:rsidRPr="00F17CAF" w:rsidRDefault="00F17CAF" w:rsidP="00F17CAF">
      <w:pPr>
        <w:pStyle w:val="NoSpacing"/>
        <w:numPr>
          <w:ilvl w:val="0"/>
          <w:numId w:val="12"/>
        </w:numPr>
        <w:ind w:left="1080"/>
        <w:rPr>
          <w:sz w:val="24"/>
          <w:szCs w:val="24"/>
        </w:rPr>
      </w:pPr>
      <w:r w:rsidRPr="00F17CAF">
        <w:rPr>
          <w:sz w:val="24"/>
          <w:szCs w:val="24"/>
        </w:rPr>
        <w:t>Require State agencies calculate payments to sponsors based on each center’s blended-rate instead of paying based on the average of the blended-rates of all centers under the sponsoring organization.</w:t>
      </w:r>
    </w:p>
    <w:p w14:paraId="74E6007F" w14:textId="2F276E6C" w:rsidR="00F17CAF" w:rsidRPr="00F17CAF" w:rsidRDefault="00F17CAF" w:rsidP="00F17CAF">
      <w:pPr>
        <w:pStyle w:val="NoSpacing"/>
        <w:numPr>
          <w:ilvl w:val="0"/>
          <w:numId w:val="12"/>
        </w:numPr>
        <w:ind w:left="1080"/>
        <w:rPr>
          <w:sz w:val="24"/>
          <w:szCs w:val="24"/>
        </w:rPr>
      </w:pPr>
      <w:r w:rsidRPr="00F17CAF">
        <w:rPr>
          <w:sz w:val="24"/>
          <w:szCs w:val="24"/>
        </w:rPr>
        <w:lastRenderedPageBreak/>
        <w:t>Provide State agencies with the best practices (specifications and contracts), technical assistance, resources, and leverage to procure the necessary programming and MIS system enhancements to implement the new rule.</w:t>
      </w:r>
    </w:p>
    <w:p w14:paraId="36ADED24" w14:textId="77777777" w:rsidR="00F17CAF" w:rsidRPr="00F17CAF" w:rsidRDefault="00F17CAF" w:rsidP="00F17CAF">
      <w:pPr>
        <w:pStyle w:val="NoSpacing"/>
        <w:ind w:left="360"/>
        <w:rPr>
          <w:sz w:val="24"/>
          <w:szCs w:val="24"/>
        </w:rPr>
      </w:pPr>
    </w:p>
    <w:p w14:paraId="496F5239" w14:textId="77777777" w:rsidR="00F17CAF" w:rsidRPr="00F17CAF" w:rsidRDefault="00F17CAF" w:rsidP="00F17CAF">
      <w:pPr>
        <w:pStyle w:val="NoSpacing"/>
        <w:ind w:left="360"/>
        <w:rPr>
          <w:sz w:val="24"/>
          <w:szCs w:val="24"/>
        </w:rPr>
      </w:pPr>
      <w:r w:rsidRPr="00F17CAF">
        <w:rPr>
          <w:sz w:val="24"/>
          <w:szCs w:val="24"/>
        </w:rPr>
        <w:t>III.  State Agency Responsibilities: Annual Verification of For-profit Centers Eligibility:</w:t>
      </w:r>
    </w:p>
    <w:p w14:paraId="4EB22DDF" w14:textId="50152BD8" w:rsidR="00F17CAF" w:rsidRPr="00F17CAF" w:rsidRDefault="00F17CAF" w:rsidP="00F17CAF">
      <w:pPr>
        <w:pStyle w:val="NoSpacing"/>
        <w:numPr>
          <w:ilvl w:val="0"/>
          <w:numId w:val="13"/>
        </w:numPr>
        <w:ind w:left="1080"/>
        <w:rPr>
          <w:sz w:val="24"/>
          <w:szCs w:val="24"/>
        </w:rPr>
      </w:pPr>
      <w:r w:rsidRPr="00F17CAF">
        <w:rPr>
          <w:sz w:val="24"/>
          <w:szCs w:val="24"/>
        </w:rPr>
        <w:t xml:space="preserve">Clarify the proposed State agency responsibilities (7 CFR 226.6) to prevent mis-interpretations and ensure the final rule does not generate significant new annual paperwork, documentation or auditing requirements related to annual eligibility.  </w:t>
      </w:r>
    </w:p>
    <w:p w14:paraId="515FBD90" w14:textId="77777777" w:rsidR="00175B8C" w:rsidRPr="00520E2C" w:rsidRDefault="00175B8C" w:rsidP="00F17CAF">
      <w:pPr>
        <w:pStyle w:val="NoSpacing"/>
        <w:ind w:left="360"/>
        <w:rPr>
          <w:sz w:val="24"/>
          <w:szCs w:val="24"/>
        </w:rPr>
      </w:pPr>
    </w:p>
    <w:p w14:paraId="3C2E40CC" w14:textId="77777777" w:rsidR="004935D0" w:rsidRPr="00520E2C" w:rsidRDefault="004935D0" w:rsidP="00D11E02">
      <w:pPr>
        <w:pStyle w:val="NoSpacing"/>
        <w:rPr>
          <w:b/>
          <w:sz w:val="24"/>
          <w:szCs w:val="24"/>
        </w:rPr>
      </w:pPr>
    </w:p>
    <w:p w14:paraId="55789BFD" w14:textId="77777777" w:rsidR="00D11E02" w:rsidRPr="00F17CAF" w:rsidRDefault="00B6763B" w:rsidP="00D11E02">
      <w:pPr>
        <w:pStyle w:val="NoSpacing"/>
        <w:rPr>
          <w:b/>
          <w:sz w:val="24"/>
          <w:szCs w:val="24"/>
        </w:rPr>
      </w:pPr>
      <w:bookmarkStart w:id="2" w:name="_Hlk531172153"/>
      <w:r w:rsidRPr="00F17CAF">
        <w:rPr>
          <w:b/>
          <w:sz w:val="24"/>
          <w:szCs w:val="24"/>
        </w:rPr>
        <w:t xml:space="preserve">I. </w:t>
      </w:r>
      <w:r w:rsidR="001C3887" w:rsidRPr="00F17CAF">
        <w:rPr>
          <w:b/>
          <w:sz w:val="24"/>
          <w:szCs w:val="24"/>
        </w:rPr>
        <w:t>Establishing Annual Eligibility Determinations for For-Profit Centers Serving High Numbers of Low-Income Children</w:t>
      </w:r>
      <w:bookmarkEnd w:id="2"/>
      <w:r w:rsidR="00135B9B" w:rsidRPr="00F17CAF">
        <w:rPr>
          <w:b/>
          <w:sz w:val="24"/>
          <w:szCs w:val="24"/>
        </w:rPr>
        <w:t>:</w:t>
      </w:r>
    </w:p>
    <w:p w14:paraId="0F051680" w14:textId="77777777" w:rsidR="001C3887" w:rsidRPr="00F17CAF" w:rsidRDefault="001C3887" w:rsidP="00D11E02">
      <w:pPr>
        <w:pStyle w:val="NoSpacing"/>
        <w:rPr>
          <w:sz w:val="24"/>
          <w:szCs w:val="24"/>
        </w:rPr>
      </w:pPr>
    </w:p>
    <w:p w14:paraId="7E73C957" w14:textId="3EE37994" w:rsidR="00BC3AC6" w:rsidRPr="00F17CAF" w:rsidRDefault="006B04BF" w:rsidP="00F17CAF">
      <w:pPr>
        <w:pStyle w:val="NoSpacing"/>
        <w:numPr>
          <w:ilvl w:val="0"/>
          <w:numId w:val="16"/>
        </w:numPr>
        <w:rPr>
          <w:b/>
          <w:sz w:val="24"/>
          <w:szCs w:val="24"/>
        </w:rPr>
      </w:pPr>
      <w:r w:rsidRPr="00F17CAF">
        <w:rPr>
          <w:b/>
          <w:sz w:val="24"/>
          <w:szCs w:val="24"/>
        </w:rPr>
        <w:t xml:space="preserve">Recommendation: </w:t>
      </w:r>
      <w:bookmarkStart w:id="3" w:name="_Hlk531534746"/>
      <w:r w:rsidR="00BC3AC6" w:rsidRPr="00F17CAF">
        <w:rPr>
          <w:b/>
          <w:sz w:val="24"/>
          <w:szCs w:val="24"/>
        </w:rPr>
        <w:t>Expand the proposed new annual eligibility for for-profit centers by allowing for-profit centers serving 40 percent or more low-income children to qualify for annual eligibility and dropping the proposed 50 percent requirement.</w:t>
      </w:r>
    </w:p>
    <w:p w14:paraId="6607F4EF" w14:textId="77777777" w:rsidR="00536D89" w:rsidRPr="00F17CAF" w:rsidRDefault="00536D89" w:rsidP="00536D89">
      <w:pPr>
        <w:pStyle w:val="NoSpacing"/>
        <w:ind w:left="720"/>
        <w:rPr>
          <w:b/>
          <w:sz w:val="24"/>
          <w:szCs w:val="24"/>
        </w:rPr>
      </w:pPr>
    </w:p>
    <w:bookmarkEnd w:id="3"/>
    <w:p w14:paraId="4A814DFD" w14:textId="2F12381C" w:rsidR="00BC3AC6" w:rsidRPr="00F17CAF" w:rsidRDefault="006B04BF" w:rsidP="00BC3AC6">
      <w:pPr>
        <w:pStyle w:val="NoSpacing"/>
        <w:ind w:left="720"/>
        <w:rPr>
          <w:b/>
          <w:sz w:val="24"/>
          <w:szCs w:val="24"/>
        </w:rPr>
      </w:pPr>
      <w:r w:rsidRPr="00F17CAF">
        <w:rPr>
          <w:sz w:val="24"/>
          <w:szCs w:val="24"/>
        </w:rPr>
        <w:t>Under the proposed rule only for-profit centers with 50 percent or more low-income children would be eligible for an</w:t>
      </w:r>
      <w:r w:rsidR="00F72DA3" w:rsidRPr="00F17CAF">
        <w:rPr>
          <w:sz w:val="24"/>
          <w:szCs w:val="24"/>
        </w:rPr>
        <w:t>nual eligibility.  We recommend a</w:t>
      </w:r>
      <w:r w:rsidRPr="00F17CAF">
        <w:rPr>
          <w:sz w:val="24"/>
          <w:szCs w:val="24"/>
        </w:rPr>
        <w:t>llowing for-profit centers serving 40 percent</w:t>
      </w:r>
      <w:r w:rsidR="00B6763B" w:rsidRPr="00F17CAF">
        <w:rPr>
          <w:sz w:val="24"/>
          <w:szCs w:val="24"/>
        </w:rPr>
        <w:t xml:space="preserve"> or more low-income children to </w:t>
      </w:r>
      <w:r w:rsidRPr="00F17CAF">
        <w:rPr>
          <w:sz w:val="24"/>
          <w:szCs w:val="24"/>
        </w:rPr>
        <w:t>qualify for annual eligibility</w:t>
      </w:r>
      <w:r w:rsidR="00F72DA3" w:rsidRPr="00F17CAF">
        <w:rPr>
          <w:sz w:val="24"/>
          <w:szCs w:val="24"/>
        </w:rPr>
        <w:t>.</w:t>
      </w:r>
      <w:r w:rsidR="00BC3AC6" w:rsidRPr="00F17CAF">
        <w:rPr>
          <w:sz w:val="24"/>
          <w:szCs w:val="24"/>
        </w:rPr>
        <w:t xml:space="preserve"> </w:t>
      </w:r>
      <w:r w:rsidR="00F72DA3" w:rsidRPr="00F17CAF">
        <w:rPr>
          <w:sz w:val="24"/>
          <w:szCs w:val="24"/>
        </w:rPr>
        <w:t xml:space="preserve">The 40 percent standard is consistent with the parameters of USDA’s deregulatory action </w:t>
      </w:r>
      <w:r w:rsidR="00BC3AC6" w:rsidRPr="00F17CAF">
        <w:rPr>
          <w:sz w:val="24"/>
          <w:szCs w:val="24"/>
        </w:rPr>
        <w:t xml:space="preserve">based on the </w:t>
      </w:r>
      <w:bookmarkStart w:id="4" w:name="_Hlk531131058"/>
      <w:r w:rsidR="00BC3AC6" w:rsidRPr="00F17CAF">
        <w:rPr>
          <w:sz w:val="24"/>
          <w:szCs w:val="24"/>
        </w:rPr>
        <w:t>following rationale:</w:t>
      </w:r>
      <w:r w:rsidR="00BC3AC6" w:rsidRPr="00F17CAF">
        <w:t xml:space="preserve"> </w:t>
      </w:r>
    </w:p>
    <w:p w14:paraId="5D99C36B" w14:textId="77777777" w:rsidR="00BC3AC6" w:rsidRPr="00F17CAF" w:rsidRDefault="00BC3AC6" w:rsidP="00BC3AC6">
      <w:pPr>
        <w:pStyle w:val="NoSpacing"/>
        <w:numPr>
          <w:ilvl w:val="1"/>
          <w:numId w:val="5"/>
        </w:numPr>
        <w:rPr>
          <w:sz w:val="24"/>
          <w:szCs w:val="24"/>
        </w:rPr>
      </w:pPr>
      <w:r w:rsidRPr="00F17CAF">
        <w:rPr>
          <w:sz w:val="24"/>
          <w:szCs w:val="24"/>
        </w:rPr>
        <w:t xml:space="preserve">The 40 percent standard is consistent with USDA’s intention to establish annual eligibility for for-profit centers serving a high number of low-income children. </w:t>
      </w:r>
    </w:p>
    <w:p w14:paraId="6EEAB7E9" w14:textId="77777777" w:rsidR="00BC3AC6" w:rsidRPr="00F17CAF" w:rsidRDefault="00BC3AC6" w:rsidP="00BC3AC6">
      <w:pPr>
        <w:pStyle w:val="NoSpacing"/>
        <w:numPr>
          <w:ilvl w:val="1"/>
          <w:numId w:val="5"/>
        </w:numPr>
        <w:rPr>
          <w:sz w:val="24"/>
          <w:szCs w:val="24"/>
        </w:rPr>
      </w:pPr>
      <w:r w:rsidRPr="00F17CAF">
        <w:rPr>
          <w:sz w:val="24"/>
          <w:szCs w:val="24"/>
        </w:rPr>
        <w:t xml:space="preserve">The 40 percent standard benchmark is similar to the 40 percent standard USDA uses to qualify schools serving a high proportion of needy students for severe need school breakfast reimbursements.  </w:t>
      </w:r>
    </w:p>
    <w:p w14:paraId="3D9E4FE5" w14:textId="77777777" w:rsidR="00BC3AC6" w:rsidRPr="00F17CAF" w:rsidRDefault="00BC3AC6" w:rsidP="00BC3AC6">
      <w:pPr>
        <w:pStyle w:val="ListParagraph"/>
        <w:numPr>
          <w:ilvl w:val="1"/>
          <w:numId w:val="5"/>
        </w:numPr>
        <w:rPr>
          <w:sz w:val="24"/>
          <w:szCs w:val="24"/>
        </w:rPr>
      </w:pPr>
      <w:r w:rsidRPr="00F17CAF">
        <w:rPr>
          <w:sz w:val="24"/>
          <w:szCs w:val="24"/>
        </w:rPr>
        <w:t xml:space="preserve">Centers meeting the 40 percent level are very unlikely to drop down over 15 percent to below the 25 percent minimum needed for for-profit eligibility: USDA’s and other data demonstrate that the percentage of low-income children served by centers is relatively stable varying within a predictably small margin well within 15 percent.  </w:t>
      </w:r>
    </w:p>
    <w:bookmarkEnd w:id="4"/>
    <w:p w14:paraId="6F33BD4F" w14:textId="1BCB9077" w:rsidR="006B04BF" w:rsidRPr="00F17CAF" w:rsidRDefault="00F72DA3" w:rsidP="001C3887">
      <w:pPr>
        <w:pStyle w:val="NoSpacing"/>
        <w:ind w:left="720"/>
        <w:rPr>
          <w:sz w:val="24"/>
          <w:szCs w:val="24"/>
        </w:rPr>
      </w:pPr>
      <w:r w:rsidRPr="00F17CAF">
        <w:rPr>
          <w:sz w:val="24"/>
          <w:szCs w:val="24"/>
        </w:rPr>
        <w:t>In addition, e</w:t>
      </w:r>
      <w:r w:rsidR="006B04BF" w:rsidRPr="00F17CAF">
        <w:rPr>
          <w:sz w:val="24"/>
          <w:szCs w:val="24"/>
        </w:rPr>
        <w:t>liminating the proposed 50 percent requirement, substituting a 40 percent standard</w:t>
      </w:r>
      <w:r w:rsidRPr="00F17CAF">
        <w:rPr>
          <w:sz w:val="24"/>
          <w:szCs w:val="24"/>
        </w:rPr>
        <w:t xml:space="preserve"> instead</w:t>
      </w:r>
      <w:r w:rsidR="006B04BF" w:rsidRPr="00F17CAF">
        <w:rPr>
          <w:sz w:val="24"/>
          <w:szCs w:val="24"/>
        </w:rPr>
        <w:t xml:space="preserve">, will increase the impact of the rule </w:t>
      </w:r>
      <w:r w:rsidRPr="00F17CAF">
        <w:rPr>
          <w:sz w:val="24"/>
          <w:szCs w:val="24"/>
        </w:rPr>
        <w:t>by extend</w:t>
      </w:r>
      <w:r w:rsidR="006B04BF" w:rsidRPr="00F17CAF">
        <w:rPr>
          <w:sz w:val="24"/>
          <w:szCs w:val="24"/>
        </w:rPr>
        <w:t xml:space="preserve">ing annual eligibility to </w:t>
      </w:r>
      <w:r w:rsidRPr="00F17CAF">
        <w:rPr>
          <w:sz w:val="24"/>
          <w:szCs w:val="24"/>
        </w:rPr>
        <w:t xml:space="preserve">more </w:t>
      </w:r>
      <w:r w:rsidR="006B04BF" w:rsidRPr="00F17CAF">
        <w:rPr>
          <w:sz w:val="24"/>
          <w:szCs w:val="24"/>
        </w:rPr>
        <w:t xml:space="preserve">for-profit centers.  The rule’s projection that “about 80 percent” of for-profit institutions “would meet the 50 percent standard” is a significant over-estimate for many states. </w:t>
      </w:r>
      <w:r w:rsidRPr="00F17CAF">
        <w:rPr>
          <w:sz w:val="24"/>
          <w:szCs w:val="24"/>
        </w:rPr>
        <w:t xml:space="preserve"> For this reason, meeting the rule’s regulatory impact estimates, cost savings and the reduction in the number of hours spent on paperwork, would be better meet by a 40 percent standard. </w:t>
      </w:r>
    </w:p>
    <w:p w14:paraId="2EF27111" w14:textId="77777777" w:rsidR="006B04BF" w:rsidRPr="00F17CAF" w:rsidRDefault="006B04BF" w:rsidP="001C3887">
      <w:pPr>
        <w:pStyle w:val="NoSpacing"/>
        <w:ind w:left="720"/>
        <w:rPr>
          <w:sz w:val="24"/>
          <w:szCs w:val="24"/>
        </w:rPr>
      </w:pPr>
    </w:p>
    <w:p w14:paraId="25E86C46" w14:textId="77777777" w:rsidR="006B04BF" w:rsidRPr="00F17CAF" w:rsidRDefault="006B04BF" w:rsidP="001C3887">
      <w:pPr>
        <w:pStyle w:val="NoSpacing"/>
        <w:ind w:left="720"/>
        <w:rPr>
          <w:sz w:val="24"/>
          <w:szCs w:val="24"/>
        </w:rPr>
      </w:pPr>
    </w:p>
    <w:p w14:paraId="010A686F" w14:textId="5A9D79F9" w:rsidR="008D7BBF" w:rsidRPr="00F17CAF" w:rsidRDefault="008D7BBF" w:rsidP="00F17CAF">
      <w:pPr>
        <w:pStyle w:val="NoSpacing"/>
        <w:numPr>
          <w:ilvl w:val="0"/>
          <w:numId w:val="16"/>
        </w:numPr>
        <w:rPr>
          <w:sz w:val="24"/>
          <w:szCs w:val="24"/>
        </w:rPr>
      </w:pPr>
      <w:r w:rsidRPr="00F17CAF">
        <w:rPr>
          <w:b/>
          <w:sz w:val="24"/>
          <w:szCs w:val="24"/>
        </w:rPr>
        <w:lastRenderedPageBreak/>
        <w:t xml:space="preserve">Recommendation:  </w:t>
      </w:r>
      <w:r w:rsidR="0057545D" w:rsidRPr="00F17CAF">
        <w:rPr>
          <w:b/>
          <w:sz w:val="24"/>
          <w:szCs w:val="24"/>
        </w:rPr>
        <w:t>Allow for-profit centers qualifying for annual eligibility to claim for reimbursement without additional monthly eligibility determinations or reporting requirements.</w:t>
      </w:r>
    </w:p>
    <w:p w14:paraId="075519C2" w14:textId="77777777" w:rsidR="001C3887" w:rsidRPr="00F17CAF" w:rsidRDefault="001C3887" w:rsidP="001C3887">
      <w:pPr>
        <w:pStyle w:val="NoSpacing"/>
        <w:ind w:left="1440"/>
        <w:rPr>
          <w:b/>
          <w:sz w:val="24"/>
          <w:szCs w:val="24"/>
        </w:rPr>
      </w:pPr>
    </w:p>
    <w:p w14:paraId="66C9DA21" w14:textId="77777777" w:rsidR="00EE7D9E" w:rsidRPr="00F17CAF" w:rsidRDefault="00D73B1D" w:rsidP="001C3887">
      <w:pPr>
        <w:pStyle w:val="NoSpacing"/>
        <w:ind w:left="720"/>
        <w:rPr>
          <w:sz w:val="24"/>
          <w:szCs w:val="24"/>
        </w:rPr>
      </w:pPr>
      <w:r w:rsidRPr="00F17CAF">
        <w:rPr>
          <w:sz w:val="24"/>
          <w:szCs w:val="24"/>
        </w:rPr>
        <w:t>In the preamble</w:t>
      </w:r>
      <w:r w:rsidR="009C1208" w:rsidRPr="00F17CAF">
        <w:rPr>
          <w:sz w:val="24"/>
          <w:szCs w:val="24"/>
        </w:rPr>
        <w:t>, USDA states</w:t>
      </w:r>
      <w:r w:rsidRPr="00F17CAF">
        <w:rPr>
          <w:sz w:val="24"/>
          <w:szCs w:val="24"/>
        </w:rPr>
        <w:t xml:space="preserve"> that </w:t>
      </w:r>
      <w:r w:rsidR="009C1208" w:rsidRPr="00F17CAF">
        <w:rPr>
          <w:sz w:val="24"/>
          <w:szCs w:val="24"/>
        </w:rPr>
        <w:t>“</w:t>
      </w:r>
      <w:r w:rsidR="009C1208" w:rsidRPr="00F17CAF">
        <w:rPr>
          <w:i/>
          <w:sz w:val="24"/>
          <w:szCs w:val="24"/>
        </w:rPr>
        <w:t>T</w:t>
      </w:r>
      <w:r w:rsidRPr="00F17CAF">
        <w:rPr>
          <w:i/>
          <w:sz w:val="24"/>
          <w:szCs w:val="24"/>
        </w:rPr>
        <w:t>hrough this deregulatory action, USDA proposes to address the verification issue in the</w:t>
      </w:r>
      <w:r w:rsidR="009C1208" w:rsidRPr="00F17CAF">
        <w:rPr>
          <w:i/>
          <w:sz w:val="24"/>
          <w:szCs w:val="24"/>
        </w:rPr>
        <w:t xml:space="preserve"> [paperwork] </w:t>
      </w:r>
      <w:r w:rsidRPr="00F17CAF">
        <w:rPr>
          <w:i/>
          <w:sz w:val="24"/>
          <w:szCs w:val="24"/>
        </w:rPr>
        <w:t>report</w:t>
      </w:r>
      <w:r w:rsidR="00B6763B" w:rsidRPr="00F17CAF">
        <w:rPr>
          <w:i/>
          <w:sz w:val="24"/>
          <w:szCs w:val="24"/>
        </w:rPr>
        <w:t>”</w:t>
      </w:r>
      <w:r w:rsidR="009C1208" w:rsidRPr="00F17CAF">
        <w:rPr>
          <w:sz w:val="24"/>
          <w:szCs w:val="24"/>
        </w:rPr>
        <w:t>. Under the proposed exemption, “</w:t>
      </w:r>
      <w:r w:rsidRPr="00F17CAF">
        <w:rPr>
          <w:i/>
          <w:sz w:val="24"/>
          <w:szCs w:val="24"/>
        </w:rPr>
        <w:t>the number of times eligibility must be verified would be reduced from monthly to annually.</w:t>
      </w:r>
      <w:r w:rsidR="009C1208" w:rsidRPr="00F17CAF">
        <w:rPr>
          <w:i/>
          <w:sz w:val="24"/>
          <w:szCs w:val="24"/>
        </w:rPr>
        <w:t xml:space="preserve">  </w:t>
      </w:r>
      <w:r w:rsidRPr="00F17CAF">
        <w:rPr>
          <w:i/>
          <w:sz w:val="24"/>
          <w:szCs w:val="24"/>
        </w:rPr>
        <w:t xml:space="preserve">This rule would exempt for-profit child or adult care centers from re-verifying their eligibility </w:t>
      </w:r>
      <w:r w:rsidR="009C1208" w:rsidRPr="00F17CAF">
        <w:rPr>
          <w:i/>
          <w:sz w:val="24"/>
          <w:szCs w:val="24"/>
        </w:rPr>
        <w:t>to submit claims each month</w:t>
      </w:r>
      <w:r w:rsidR="009C1208" w:rsidRPr="00F17CAF">
        <w:rPr>
          <w:sz w:val="24"/>
          <w:szCs w:val="24"/>
        </w:rPr>
        <w:t>…”</w:t>
      </w:r>
      <w:r w:rsidR="001C3887" w:rsidRPr="00F17CAF">
        <w:rPr>
          <w:sz w:val="24"/>
          <w:szCs w:val="24"/>
        </w:rPr>
        <w:t xml:space="preserve"> </w:t>
      </w:r>
      <w:r w:rsidR="003F6092" w:rsidRPr="00F17CAF">
        <w:rPr>
          <w:sz w:val="24"/>
          <w:szCs w:val="24"/>
        </w:rPr>
        <w:t>This is an important goal. However, t</w:t>
      </w:r>
      <w:r w:rsidR="0019121F" w:rsidRPr="00F17CAF">
        <w:rPr>
          <w:sz w:val="24"/>
          <w:szCs w:val="24"/>
        </w:rPr>
        <w:t>o reach this goal the final rule will need to focus on clearly eliminating the requirement to</w:t>
      </w:r>
      <w:r w:rsidR="005C0812" w:rsidRPr="00F17CAF">
        <w:rPr>
          <w:sz w:val="24"/>
          <w:szCs w:val="24"/>
        </w:rPr>
        <w:t xml:space="preserve"> </w:t>
      </w:r>
      <w:r w:rsidR="00D75B03" w:rsidRPr="00F17CAF">
        <w:rPr>
          <w:sz w:val="24"/>
          <w:szCs w:val="24"/>
          <w:u w:val="single"/>
        </w:rPr>
        <w:t>verify/</w:t>
      </w:r>
      <w:r w:rsidR="005C0812" w:rsidRPr="00F17CAF">
        <w:rPr>
          <w:sz w:val="24"/>
          <w:szCs w:val="24"/>
          <w:u w:val="single"/>
        </w:rPr>
        <w:t>determine</w:t>
      </w:r>
      <w:r w:rsidR="005C0812" w:rsidRPr="00F17CAF">
        <w:rPr>
          <w:sz w:val="24"/>
          <w:szCs w:val="24"/>
        </w:rPr>
        <w:t xml:space="preserve"> </w:t>
      </w:r>
      <w:r w:rsidR="0019121F" w:rsidRPr="00F17CAF">
        <w:rPr>
          <w:sz w:val="24"/>
          <w:szCs w:val="24"/>
        </w:rPr>
        <w:t xml:space="preserve">eligibility monthly, </w:t>
      </w:r>
      <w:r w:rsidR="007C6B6B" w:rsidRPr="00F17CAF">
        <w:rPr>
          <w:sz w:val="24"/>
          <w:szCs w:val="24"/>
        </w:rPr>
        <w:t>rather than only eliminating</w:t>
      </w:r>
      <w:r w:rsidR="0019121F" w:rsidRPr="00F17CAF">
        <w:rPr>
          <w:sz w:val="24"/>
          <w:szCs w:val="24"/>
        </w:rPr>
        <w:t xml:space="preserve"> the</w:t>
      </w:r>
      <w:r w:rsidR="000B0DFA" w:rsidRPr="00F17CAF">
        <w:rPr>
          <w:sz w:val="24"/>
          <w:szCs w:val="24"/>
        </w:rPr>
        <w:t xml:space="preserve"> requirement to </w:t>
      </w:r>
      <w:r w:rsidR="000B0DFA" w:rsidRPr="00F17CAF">
        <w:rPr>
          <w:sz w:val="24"/>
          <w:szCs w:val="24"/>
          <w:u w:val="single"/>
        </w:rPr>
        <w:t xml:space="preserve">report </w:t>
      </w:r>
      <w:r w:rsidR="000B0DFA" w:rsidRPr="00F17CAF">
        <w:rPr>
          <w:sz w:val="24"/>
          <w:szCs w:val="24"/>
        </w:rPr>
        <w:t>eligibility on monthly claims</w:t>
      </w:r>
      <w:r w:rsidR="0080575A" w:rsidRPr="00F17CAF">
        <w:rPr>
          <w:sz w:val="24"/>
          <w:szCs w:val="24"/>
        </w:rPr>
        <w:t xml:space="preserve"> forms</w:t>
      </w:r>
      <w:r w:rsidR="000B0DFA" w:rsidRPr="00F17CAF">
        <w:rPr>
          <w:sz w:val="24"/>
          <w:szCs w:val="24"/>
        </w:rPr>
        <w:t>.</w:t>
      </w:r>
      <w:r w:rsidR="00C218E0" w:rsidRPr="00F17CAF">
        <w:rPr>
          <w:sz w:val="24"/>
          <w:szCs w:val="24"/>
        </w:rPr>
        <w:t xml:space="preserve">  </w:t>
      </w:r>
    </w:p>
    <w:p w14:paraId="68C2013C" w14:textId="77777777" w:rsidR="00EE7D9E" w:rsidRPr="00F17CAF" w:rsidRDefault="00EE7D9E" w:rsidP="001C3887">
      <w:pPr>
        <w:pStyle w:val="NoSpacing"/>
        <w:ind w:left="720"/>
        <w:rPr>
          <w:sz w:val="24"/>
          <w:szCs w:val="24"/>
        </w:rPr>
      </w:pPr>
    </w:p>
    <w:p w14:paraId="75B649D6" w14:textId="34DDCA65" w:rsidR="005C0812" w:rsidRPr="00F17CAF" w:rsidRDefault="00C218E0" w:rsidP="001C3887">
      <w:pPr>
        <w:pStyle w:val="NoSpacing"/>
        <w:ind w:left="720"/>
        <w:rPr>
          <w:sz w:val="24"/>
          <w:szCs w:val="24"/>
        </w:rPr>
      </w:pPr>
      <w:r w:rsidRPr="00F17CAF">
        <w:rPr>
          <w:sz w:val="24"/>
          <w:szCs w:val="24"/>
        </w:rPr>
        <w:t>USDA’s</w:t>
      </w:r>
      <w:r w:rsidR="0019121F" w:rsidRPr="00F17CAF">
        <w:rPr>
          <w:sz w:val="24"/>
          <w:szCs w:val="24"/>
        </w:rPr>
        <w:t xml:space="preserve"> proposed </w:t>
      </w:r>
      <w:r w:rsidR="005C0812" w:rsidRPr="00F17CAF">
        <w:rPr>
          <w:sz w:val="24"/>
          <w:szCs w:val="24"/>
        </w:rPr>
        <w:t xml:space="preserve">regulatory language </w:t>
      </w:r>
      <w:r w:rsidR="0019121F" w:rsidRPr="00F17CAF">
        <w:rPr>
          <w:sz w:val="24"/>
          <w:szCs w:val="24"/>
        </w:rPr>
        <w:t>offer</w:t>
      </w:r>
      <w:r w:rsidR="005C0812" w:rsidRPr="00F17CAF">
        <w:rPr>
          <w:sz w:val="24"/>
          <w:szCs w:val="24"/>
        </w:rPr>
        <w:t>s</w:t>
      </w:r>
      <w:r w:rsidR="0019121F" w:rsidRPr="00F17CAF">
        <w:rPr>
          <w:sz w:val="24"/>
          <w:szCs w:val="24"/>
        </w:rPr>
        <w:t xml:space="preserve"> an exemption from </w:t>
      </w:r>
      <w:r w:rsidR="000B0DFA" w:rsidRPr="00F17CAF">
        <w:rPr>
          <w:sz w:val="24"/>
          <w:szCs w:val="24"/>
        </w:rPr>
        <w:t xml:space="preserve">the requirement to </w:t>
      </w:r>
      <w:r w:rsidR="000B0DFA" w:rsidRPr="00F17CAF">
        <w:rPr>
          <w:sz w:val="24"/>
          <w:szCs w:val="24"/>
          <w:u w:val="single"/>
        </w:rPr>
        <w:t>report</w:t>
      </w:r>
      <w:r w:rsidR="000B0DFA" w:rsidRPr="00F17CAF">
        <w:rPr>
          <w:sz w:val="24"/>
          <w:szCs w:val="24"/>
        </w:rPr>
        <w:t xml:space="preserve"> eligibility on monthly claims for </w:t>
      </w:r>
      <w:r w:rsidR="00EE7D9E" w:rsidRPr="00F17CAF">
        <w:rPr>
          <w:sz w:val="24"/>
          <w:szCs w:val="24"/>
        </w:rPr>
        <w:t>reimbursement,</w:t>
      </w:r>
      <w:r w:rsidR="000B0DFA" w:rsidRPr="00F17CAF">
        <w:rPr>
          <w:sz w:val="24"/>
          <w:szCs w:val="24"/>
        </w:rPr>
        <w:t xml:space="preserve"> but it does not clearly eliminate the need to </w:t>
      </w:r>
      <w:r w:rsidR="00D75B03" w:rsidRPr="00F17CAF">
        <w:rPr>
          <w:sz w:val="24"/>
          <w:szCs w:val="24"/>
          <w:u w:val="single"/>
        </w:rPr>
        <w:t>verify/</w:t>
      </w:r>
      <w:r w:rsidR="005C0812" w:rsidRPr="00F17CAF">
        <w:rPr>
          <w:sz w:val="24"/>
          <w:szCs w:val="24"/>
          <w:u w:val="single"/>
        </w:rPr>
        <w:t>determine</w:t>
      </w:r>
      <w:r w:rsidR="000B0DFA" w:rsidRPr="00F17CAF">
        <w:rPr>
          <w:sz w:val="24"/>
          <w:szCs w:val="24"/>
        </w:rPr>
        <w:t xml:space="preserve"> eligibility monthly.  </w:t>
      </w:r>
      <w:r w:rsidR="005C0812" w:rsidRPr="00F17CAF">
        <w:rPr>
          <w:sz w:val="24"/>
          <w:szCs w:val="24"/>
        </w:rPr>
        <w:t>Aspects of the proposed rule appear to create an expectation that centers with the exempt</w:t>
      </w:r>
      <w:r w:rsidR="000916FD" w:rsidRPr="00F17CAF">
        <w:rPr>
          <w:sz w:val="24"/>
          <w:szCs w:val="24"/>
        </w:rPr>
        <w:t xml:space="preserve">ion will still need </w:t>
      </w:r>
      <w:r w:rsidR="005C0812" w:rsidRPr="00F17CAF">
        <w:rPr>
          <w:sz w:val="24"/>
          <w:szCs w:val="24"/>
        </w:rPr>
        <w:t xml:space="preserve">to </w:t>
      </w:r>
      <w:r w:rsidR="00D75B03" w:rsidRPr="00F17CAF">
        <w:rPr>
          <w:sz w:val="24"/>
          <w:szCs w:val="24"/>
          <w:u w:val="single"/>
        </w:rPr>
        <w:t>verify/</w:t>
      </w:r>
      <w:r w:rsidR="005C0812" w:rsidRPr="00F17CAF">
        <w:rPr>
          <w:sz w:val="24"/>
          <w:szCs w:val="24"/>
          <w:u w:val="single"/>
        </w:rPr>
        <w:t>determine</w:t>
      </w:r>
      <w:r w:rsidR="00D75B03" w:rsidRPr="00F17CAF">
        <w:rPr>
          <w:sz w:val="24"/>
          <w:szCs w:val="24"/>
        </w:rPr>
        <w:t xml:space="preserve"> </w:t>
      </w:r>
      <w:r w:rsidR="005C0812" w:rsidRPr="00F17CAF">
        <w:rPr>
          <w:sz w:val="24"/>
          <w:szCs w:val="24"/>
        </w:rPr>
        <w:t xml:space="preserve">eligibility to claim on a monthly basis and be prepared to notify the State agency if the percentage drops below 25 percent. </w:t>
      </w:r>
      <w:r w:rsidR="00EE7D9E" w:rsidRPr="00F17CAF">
        <w:rPr>
          <w:sz w:val="24"/>
          <w:szCs w:val="24"/>
        </w:rPr>
        <w:t xml:space="preserve"> This is </w:t>
      </w:r>
      <w:r w:rsidRPr="00F17CAF">
        <w:rPr>
          <w:sz w:val="24"/>
          <w:szCs w:val="24"/>
        </w:rPr>
        <w:t xml:space="preserve">unnecessary given </w:t>
      </w:r>
      <w:r w:rsidR="00512398">
        <w:rPr>
          <w:sz w:val="24"/>
          <w:szCs w:val="24"/>
        </w:rPr>
        <w:t xml:space="preserve">that </w:t>
      </w:r>
      <w:r w:rsidR="00512398" w:rsidRPr="00512398">
        <w:rPr>
          <w:sz w:val="24"/>
          <w:szCs w:val="24"/>
        </w:rPr>
        <w:t>USDA</w:t>
      </w:r>
      <w:r w:rsidR="00512398">
        <w:rPr>
          <w:sz w:val="24"/>
          <w:szCs w:val="24"/>
        </w:rPr>
        <w:t>’s analysis</w:t>
      </w:r>
      <w:r w:rsidR="00512398" w:rsidRPr="00512398">
        <w:rPr>
          <w:sz w:val="24"/>
          <w:szCs w:val="24"/>
        </w:rPr>
        <w:t xml:space="preserve"> and other data demonstrate that the percentage of low-income children served by centers is relatively stable varying within a predi</w:t>
      </w:r>
      <w:r w:rsidR="00512398">
        <w:rPr>
          <w:sz w:val="24"/>
          <w:szCs w:val="24"/>
        </w:rPr>
        <w:t>ctably small margin</w:t>
      </w:r>
      <w:r w:rsidR="00512398" w:rsidRPr="00512398">
        <w:rPr>
          <w:sz w:val="24"/>
          <w:szCs w:val="24"/>
        </w:rPr>
        <w:t xml:space="preserve">.  </w:t>
      </w:r>
      <w:r w:rsidR="005C0812" w:rsidRPr="00F17CAF">
        <w:rPr>
          <w:sz w:val="24"/>
          <w:szCs w:val="24"/>
        </w:rPr>
        <w:t xml:space="preserve"> </w:t>
      </w:r>
      <w:r w:rsidR="00EE7D9E" w:rsidRPr="00F17CAF">
        <w:rPr>
          <w:sz w:val="24"/>
          <w:szCs w:val="24"/>
        </w:rPr>
        <w:t>In addition, the implied requirement to determine eligibility to claim monthly is</w:t>
      </w:r>
      <w:r w:rsidR="005C0812" w:rsidRPr="00F17CAF">
        <w:rPr>
          <w:sz w:val="24"/>
          <w:szCs w:val="24"/>
        </w:rPr>
        <w:t xml:space="preserve"> inconsistent with “establishing annual eligibility determinations for for-profit centers.”  The intent of the paperwork reduction group</w:t>
      </w:r>
      <w:r w:rsidR="0080575A" w:rsidRPr="00F17CAF">
        <w:rPr>
          <w:sz w:val="24"/>
          <w:szCs w:val="24"/>
        </w:rPr>
        <w:t>’s recommendation</w:t>
      </w:r>
      <w:r w:rsidR="005C0812" w:rsidRPr="00F17CAF">
        <w:rPr>
          <w:sz w:val="24"/>
          <w:szCs w:val="24"/>
        </w:rPr>
        <w:t xml:space="preserve"> </w:t>
      </w:r>
      <w:r w:rsidR="0080575A" w:rsidRPr="00F17CAF">
        <w:rPr>
          <w:sz w:val="24"/>
          <w:szCs w:val="24"/>
        </w:rPr>
        <w:t>was to establish annual institutional eligibility</w:t>
      </w:r>
      <w:r w:rsidR="009862EA" w:rsidRPr="00F17CAF">
        <w:rPr>
          <w:sz w:val="24"/>
          <w:szCs w:val="24"/>
        </w:rPr>
        <w:t xml:space="preserve"> for</w:t>
      </w:r>
      <w:r w:rsidR="0080575A" w:rsidRPr="00F17CAF">
        <w:rPr>
          <w:sz w:val="24"/>
          <w:szCs w:val="24"/>
        </w:rPr>
        <w:t xml:space="preserve"> for-profit centers which would, as with all other Child Nutrition Programs including CACFP, confer annual eligibility to claim.  </w:t>
      </w:r>
      <w:bookmarkStart w:id="5" w:name="_Hlk531169317"/>
      <w:r w:rsidR="0080575A" w:rsidRPr="00F17CAF">
        <w:rPr>
          <w:sz w:val="24"/>
          <w:szCs w:val="24"/>
        </w:rPr>
        <w:t>Perhaps uninte</w:t>
      </w:r>
      <w:r w:rsidR="00512398">
        <w:rPr>
          <w:sz w:val="24"/>
          <w:szCs w:val="24"/>
        </w:rPr>
        <w:t xml:space="preserve">ntionally, this rule appears open to interpretations that would </w:t>
      </w:r>
      <w:r w:rsidR="0080575A" w:rsidRPr="00F17CAF">
        <w:rPr>
          <w:sz w:val="24"/>
          <w:szCs w:val="24"/>
        </w:rPr>
        <w:t>offer onl</w:t>
      </w:r>
      <w:r w:rsidR="00135B9B" w:rsidRPr="00F17CAF">
        <w:rPr>
          <w:sz w:val="24"/>
          <w:szCs w:val="24"/>
        </w:rPr>
        <w:t>y a limited exemption, falling short of a robust deregulat</w:t>
      </w:r>
      <w:r w:rsidR="00B33B53">
        <w:rPr>
          <w:sz w:val="24"/>
          <w:szCs w:val="24"/>
        </w:rPr>
        <w:t xml:space="preserve">ory action.  Hopefully, USDA’s request for feedback and recommendations </w:t>
      </w:r>
      <w:r w:rsidR="00135B9B" w:rsidRPr="00F17CAF">
        <w:rPr>
          <w:sz w:val="24"/>
          <w:szCs w:val="24"/>
        </w:rPr>
        <w:t>will provide t</w:t>
      </w:r>
      <w:r w:rsidR="004860AB" w:rsidRPr="00F17CAF">
        <w:rPr>
          <w:sz w:val="24"/>
          <w:szCs w:val="24"/>
        </w:rPr>
        <w:t xml:space="preserve">he information and leverage </w:t>
      </w:r>
      <w:r w:rsidR="00135B9B" w:rsidRPr="00F17CAF">
        <w:rPr>
          <w:sz w:val="24"/>
          <w:szCs w:val="24"/>
        </w:rPr>
        <w:t xml:space="preserve">needed to strengthen </w:t>
      </w:r>
      <w:r w:rsidR="00153709" w:rsidRPr="00F17CAF">
        <w:rPr>
          <w:sz w:val="24"/>
          <w:szCs w:val="24"/>
        </w:rPr>
        <w:t>this</w:t>
      </w:r>
      <w:r w:rsidR="00135B9B" w:rsidRPr="00F17CAF">
        <w:rPr>
          <w:sz w:val="24"/>
          <w:szCs w:val="24"/>
        </w:rPr>
        <w:t xml:space="preserve"> </w:t>
      </w:r>
      <w:r w:rsidR="00B2266A" w:rsidRPr="00F17CAF">
        <w:rPr>
          <w:sz w:val="24"/>
          <w:szCs w:val="24"/>
        </w:rPr>
        <w:t xml:space="preserve">aspect of the </w:t>
      </w:r>
      <w:r w:rsidR="00135B9B" w:rsidRPr="00F17CAF">
        <w:rPr>
          <w:sz w:val="24"/>
          <w:szCs w:val="24"/>
        </w:rPr>
        <w:t xml:space="preserve">final rule. </w:t>
      </w:r>
      <w:r w:rsidR="009574CA" w:rsidRPr="00F17CAF">
        <w:rPr>
          <w:sz w:val="24"/>
          <w:szCs w:val="24"/>
        </w:rPr>
        <w:t xml:space="preserve"> </w:t>
      </w:r>
      <w:bookmarkEnd w:id="5"/>
    </w:p>
    <w:p w14:paraId="6D3B9E49" w14:textId="77777777" w:rsidR="00B94AF4" w:rsidRPr="00F17CAF" w:rsidRDefault="00B94AF4" w:rsidP="008200AE">
      <w:pPr>
        <w:pStyle w:val="NoSpacing"/>
        <w:rPr>
          <w:b/>
          <w:sz w:val="24"/>
          <w:szCs w:val="24"/>
        </w:rPr>
      </w:pPr>
      <w:bookmarkStart w:id="6" w:name="_Hlk531172187"/>
    </w:p>
    <w:p w14:paraId="233446FD" w14:textId="7C5C135F" w:rsidR="00D75B03" w:rsidRPr="00F17CAF" w:rsidRDefault="00272CF3" w:rsidP="00D75B03">
      <w:pPr>
        <w:pStyle w:val="NoSpacing"/>
        <w:rPr>
          <w:b/>
          <w:sz w:val="24"/>
          <w:szCs w:val="24"/>
        </w:rPr>
      </w:pPr>
      <w:r w:rsidRPr="00F17CAF">
        <w:rPr>
          <w:b/>
          <w:sz w:val="24"/>
          <w:szCs w:val="24"/>
        </w:rPr>
        <w:t xml:space="preserve">II.  </w:t>
      </w:r>
      <w:r w:rsidR="00AC33C0" w:rsidRPr="00F17CAF">
        <w:rPr>
          <w:b/>
          <w:sz w:val="24"/>
          <w:szCs w:val="24"/>
        </w:rPr>
        <w:t>Program Payments</w:t>
      </w:r>
      <w:bookmarkStart w:id="7" w:name="_Hlk531178392"/>
      <w:bookmarkEnd w:id="6"/>
      <w:r w:rsidR="004860AB" w:rsidRPr="00F17CAF">
        <w:rPr>
          <w:b/>
          <w:sz w:val="24"/>
          <w:szCs w:val="24"/>
        </w:rPr>
        <w:t>: Assignment of Reimbursement Rates for Centers</w:t>
      </w:r>
      <w:r w:rsidR="00536D89" w:rsidRPr="00F17CAF">
        <w:rPr>
          <w:b/>
          <w:sz w:val="24"/>
          <w:szCs w:val="24"/>
        </w:rPr>
        <w:t>:</w:t>
      </w:r>
    </w:p>
    <w:p w14:paraId="5704D8A5" w14:textId="172AA175" w:rsidR="004860AB" w:rsidRPr="00F17CAF" w:rsidRDefault="004860AB" w:rsidP="00D75B03">
      <w:pPr>
        <w:pStyle w:val="NoSpacing"/>
        <w:rPr>
          <w:b/>
          <w:sz w:val="24"/>
          <w:szCs w:val="24"/>
        </w:rPr>
      </w:pPr>
    </w:p>
    <w:p w14:paraId="391B692B" w14:textId="39A667A5" w:rsidR="004860AB" w:rsidRPr="00F17CAF" w:rsidRDefault="004860AB" w:rsidP="004860AB">
      <w:pPr>
        <w:pStyle w:val="NoSpacing"/>
        <w:rPr>
          <w:b/>
          <w:sz w:val="24"/>
          <w:szCs w:val="24"/>
        </w:rPr>
      </w:pPr>
      <w:r w:rsidRPr="00F17CAF">
        <w:t xml:space="preserve">In this section, we address the specific payment related proposal in the rule and offer additional recommendations based on the USDA’s request: </w:t>
      </w:r>
      <w:r w:rsidRPr="00F17CAF">
        <w:rPr>
          <w:i/>
        </w:rPr>
        <w:t>“</w:t>
      </w:r>
      <w:r w:rsidRPr="00F17CAF">
        <w:rPr>
          <w:i/>
          <w:sz w:val="24"/>
          <w:szCs w:val="24"/>
        </w:rPr>
        <w:t xml:space="preserve">USDA is actively looking for more information, particularly regarding the Paperwork Reduction Work Group’s recommendations for assigning reimbursement rates.” </w:t>
      </w:r>
      <w:r w:rsidRPr="00F17CAF">
        <w:rPr>
          <w:sz w:val="24"/>
          <w:szCs w:val="24"/>
        </w:rPr>
        <w:t xml:space="preserve"> </w:t>
      </w:r>
      <w:r w:rsidR="008A467A" w:rsidRPr="00F17CAF">
        <w:rPr>
          <w:sz w:val="24"/>
          <w:szCs w:val="24"/>
        </w:rPr>
        <w:t>T</w:t>
      </w:r>
      <w:r w:rsidRPr="00F17CAF">
        <w:rPr>
          <w:sz w:val="24"/>
          <w:szCs w:val="24"/>
        </w:rPr>
        <w:t>he</w:t>
      </w:r>
      <w:r w:rsidR="003E3496" w:rsidRPr="00F17CAF">
        <w:rPr>
          <w:sz w:val="24"/>
          <w:szCs w:val="24"/>
        </w:rPr>
        <w:t xml:space="preserve"> following</w:t>
      </w:r>
      <w:r w:rsidRPr="00F17CAF">
        <w:rPr>
          <w:sz w:val="24"/>
          <w:szCs w:val="24"/>
        </w:rPr>
        <w:t xml:space="preserve"> recommendations will strengthen the</w:t>
      </w:r>
      <w:r w:rsidR="008A467A" w:rsidRPr="00F17CAF">
        <w:rPr>
          <w:sz w:val="24"/>
          <w:szCs w:val="24"/>
        </w:rPr>
        <w:t xml:space="preserve"> deregulatory</w:t>
      </w:r>
      <w:r w:rsidRPr="00F17CAF">
        <w:rPr>
          <w:sz w:val="24"/>
          <w:szCs w:val="24"/>
        </w:rPr>
        <w:t xml:space="preserve"> power of the </w:t>
      </w:r>
      <w:r w:rsidR="008A467A" w:rsidRPr="00F17CAF">
        <w:rPr>
          <w:sz w:val="24"/>
          <w:szCs w:val="24"/>
        </w:rPr>
        <w:t xml:space="preserve">proposed </w:t>
      </w:r>
      <w:r w:rsidRPr="00F17CAF">
        <w:rPr>
          <w:sz w:val="24"/>
          <w:szCs w:val="24"/>
        </w:rPr>
        <w:t>rule:</w:t>
      </w:r>
    </w:p>
    <w:p w14:paraId="2794241D" w14:textId="4248DAF1" w:rsidR="008200AE" w:rsidRPr="00F17CAF" w:rsidRDefault="008200AE" w:rsidP="008A467A">
      <w:pPr>
        <w:pStyle w:val="NoSpacing"/>
        <w:numPr>
          <w:ilvl w:val="0"/>
          <w:numId w:val="14"/>
        </w:numPr>
        <w:rPr>
          <w:sz w:val="24"/>
          <w:szCs w:val="24"/>
        </w:rPr>
      </w:pPr>
      <w:r w:rsidRPr="00F17CAF">
        <w:rPr>
          <w:sz w:val="24"/>
          <w:szCs w:val="24"/>
        </w:rPr>
        <w:t>Allow all centers the option to use a</w:t>
      </w:r>
      <w:r w:rsidR="006052FD" w:rsidRPr="00F17CAF">
        <w:rPr>
          <w:sz w:val="24"/>
          <w:szCs w:val="24"/>
        </w:rPr>
        <w:t xml:space="preserve">n annual </w:t>
      </w:r>
      <w:r w:rsidRPr="00F17CAF">
        <w:rPr>
          <w:sz w:val="24"/>
          <w:szCs w:val="24"/>
        </w:rPr>
        <w:t>blended rate</w:t>
      </w:r>
      <w:r w:rsidR="00536D89" w:rsidRPr="00F17CAF">
        <w:rPr>
          <w:sz w:val="24"/>
          <w:szCs w:val="24"/>
        </w:rPr>
        <w:t>.</w:t>
      </w:r>
    </w:p>
    <w:bookmarkEnd w:id="7"/>
    <w:p w14:paraId="793A3BF5" w14:textId="68C5FAF6" w:rsidR="009B3D33" w:rsidRPr="00F17CAF" w:rsidRDefault="009B3D33" w:rsidP="008A467A">
      <w:pPr>
        <w:pStyle w:val="NoSpacing"/>
        <w:numPr>
          <w:ilvl w:val="0"/>
          <w:numId w:val="14"/>
        </w:numPr>
        <w:rPr>
          <w:sz w:val="24"/>
          <w:szCs w:val="24"/>
        </w:rPr>
      </w:pPr>
      <w:r w:rsidRPr="00F17CAF">
        <w:rPr>
          <w:sz w:val="24"/>
          <w:szCs w:val="24"/>
        </w:rPr>
        <w:t xml:space="preserve">Allow all centers the option of amending the </w:t>
      </w:r>
      <w:r w:rsidR="00536D89" w:rsidRPr="00F17CAF">
        <w:rPr>
          <w:sz w:val="24"/>
          <w:szCs w:val="24"/>
        </w:rPr>
        <w:t xml:space="preserve">annual </w:t>
      </w:r>
      <w:r w:rsidRPr="00F17CAF">
        <w:rPr>
          <w:sz w:val="24"/>
          <w:szCs w:val="24"/>
        </w:rPr>
        <w:t>blended rate</w:t>
      </w:r>
      <w:r w:rsidR="00D44AA1" w:rsidRPr="00F17CAF">
        <w:rPr>
          <w:sz w:val="24"/>
          <w:szCs w:val="24"/>
        </w:rPr>
        <w:t xml:space="preserve"> </w:t>
      </w:r>
      <w:r w:rsidR="008A467A" w:rsidRPr="00F17CAF">
        <w:rPr>
          <w:sz w:val="24"/>
          <w:szCs w:val="24"/>
        </w:rPr>
        <w:t>more frequently than annually.</w:t>
      </w:r>
    </w:p>
    <w:p w14:paraId="7FCB6D8D" w14:textId="77777777" w:rsidR="008A467A" w:rsidRPr="00F17CAF" w:rsidRDefault="008A467A" w:rsidP="008A467A">
      <w:pPr>
        <w:pStyle w:val="NoSpacing"/>
        <w:numPr>
          <w:ilvl w:val="0"/>
          <w:numId w:val="14"/>
        </w:numPr>
        <w:rPr>
          <w:sz w:val="24"/>
          <w:szCs w:val="24"/>
        </w:rPr>
      </w:pPr>
      <w:r w:rsidRPr="00F17CAF">
        <w:rPr>
          <w:sz w:val="24"/>
          <w:szCs w:val="24"/>
        </w:rPr>
        <w:t xml:space="preserve">Provide State agencies clear guidance on the implementation of annual blended rates and adjustments: emphasize the importance of practical and reasonable review policies and prohibit punitive policies which automatically generate increased scrutiny of centers making adjustments. </w:t>
      </w:r>
    </w:p>
    <w:p w14:paraId="4CE7334A" w14:textId="13C88FE7" w:rsidR="0036650E" w:rsidRPr="00F17CAF" w:rsidRDefault="009C2EF3" w:rsidP="0036650E">
      <w:pPr>
        <w:pStyle w:val="NoSpacing"/>
        <w:numPr>
          <w:ilvl w:val="0"/>
          <w:numId w:val="14"/>
        </w:numPr>
        <w:rPr>
          <w:sz w:val="24"/>
          <w:szCs w:val="24"/>
        </w:rPr>
      </w:pPr>
      <w:bookmarkStart w:id="8" w:name="_Hlk531548009"/>
      <w:r w:rsidRPr="00F17CAF">
        <w:rPr>
          <w:sz w:val="24"/>
          <w:szCs w:val="24"/>
        </w:rPr>
        <w:t xml:space="preserve">Require </w:t>
      </w:r>
      <w:r w:rsidR="0036650E" w:rsidRPr="00F17CAF">
        <w:rPr>
          <w:sz w:val="24"/>
          <w:szCs w:val="24"/>
        </w:rPr>
        <w:t>State agencies calculate payments to sponsors based on each center’s blended-rate instead of paying based on the average of all the blended-rates of all centers under the sponsoring organization.</w:t>
      </w:r>
    </w:p>
    <w:p w14:paraId="199611F1" w14:textId="3B783582" w:rsidR="009C2EF3" w:rsidRPr="00F17CAF" w:rsidRDefault="009C2EF3" w:rsidP="009C2EF3">
      <w:pPr>
        <w:pStyle w:val="ListParagraph"/>
        <w:numPr>
          <w:ilvl w:val="0"/>
          <w:numId w:val="14"/>
        </w:numPr>
        <w:rPr>
          <w:sz w:val="24"/>
          <w:szCs w:val="24"/>
        </w:rPr>
      </w:pPr>
      <w:r w:rsidRPr="00F17CAF">
        <w:rPr>
          <w:sz w:val="24"/>
          <w:szCs w:val="24"/>
        </w:rPr>
        <w:lastRenderedPageBreak/>
        <w:t>Provide State agencies with the best practices (specifications and contracts), technical assistance, resources, and leverage to procure the necessary programming and MIS system enhancements to implement the new rule.</w:t>
      </w:r>
    </w:p>
    <w:bookmarkEnd w:id="8"/>
    <w:p w14:paraId="45EF7DF2" w14:textId="77777777" w:rsidR="00F17CAF" w:rsidRDefault="00F17CAF" w:rsidP="00F17CAF">
      <w:pPr>
        <w:pStyle w:val="NoSpacing"/>
        <w:rPr>
          <w:b/>
          <w:sz w:val="24"/>
          <w:szCs w:val="24"/>
        </w:rPr>
      </w:pPr>
    </w:p>
    <w:p w14:paraId="373C5DAB" w14:textId="7DDA9768" w:rsidR="00536D89" w:rsidRPr="00F17CAF" w:rsidRDefault="003E3496" w:rsidP="00F17CAF">
      <w:pPr>
        <w:pStyle w:val="NoSpacing"/>
        <w:numPr>
          <w:ilvl w:val="0"/>
          <w:numId w:val="17"/>
        </w:numPr>
        <w:rPr>
          <w:caps/>
          <w:sz w:val="24"/>
          <w:szCs w:val="24"/>
        </w:rPr>
      </w:pPr>
      <w:r w:rsidRPr="00F17CAF">
        <w:rPr>
          <w:b/>
          <w:sz w:val="24"/>
          <w:szCs w:val="24"/>
        </w:rPr>
        <w:t xml:space="preserve">Recommendation: </w:t>
      </w:r>
      <w:r w:rsidR="00536D89" w:rsidRPr="00F17CAF">
        <w:rPr>
          <w:b/>
          <w:sz w:val="24"/>
          <w:szCs w:val="24"/>
        </w:rPr>
        <w:t>Allow all centers the option to use an annual blended rate.</w:t>
      </w:r>
    </w:p>
    <w:p w14:paraId="3E7F440A" w14:textId="77777777" w:rsidR="00536D89" w:rsidRPr="00F17CAF" w:rsidRDefault="00536D89" w:rsidP="00536D89">
      <w:pPr>
        <w:pStyle w:val="NoSpacing"/>
        <w:ind w:left="720"/>
        <w:rPr>
          <w:caps/>
          <w:sz w:val="24"/>
          <w:szCs w:val="24"/>
        </w:rPr>
      </w:pPr>
    </w:p>
    <w:p w14:paraId="4D039829" w14:textId="60ED2472" w:rsidR="005F537E" w:rsidRPr="00F17CAF" w:rsidRDefault="0083288B" w:rsidP="00DC028F">
      <w:pPr>
        <w:pStyle w:val="NoSpacing"/>
        <w:ind w:left="720"/>
        <w:rPr>
          <w:sz w:val="24"/>
          <w:szCs w:val="24"/>
        </w:rPr>
      </w:pPr>
      <w:r w:rsidRPr="00F17CAF">
        <w:rPr>
          <w:sz w:val="24"/>
          <w:szCs w:val="24"/>
        </w:rPr>
        <w:t>We recommend that in the final rule,</w:t>
      </w:r>
      <w:r w:rsidR="00DC028F" w:rsidRPr="00F17CAF">
        <w:rPr>
          <w:sz w:val="24"/>
          <w:szCs w:val="24"/>
        </w:rPr>
        <w:t xml:space="preserve"> all centers have the option to choose a blended rate/cl</w:t>
      </w:r>
      <w:r w:rsidRPr="00F17CAF">
        <w:rPr>
          <w:sz w:val="24"/>
          <w:szCs w:val="24"/>
        </w:rPr>
        <w:t xml:space="preserve">aiming percentage.  </w:t>
      </w:r>
      <w:r w:rsidR="00B76297" w:rsidRPr="00F17CAF">
        <w:rPr>
          <w:sz w:val="24"/>
          <w:szCs w:val="24"/>
        </w:rPr>
        <w:t>Consistent with the paperwork reduction work group recommendations, this would require all state</w:t>
      </w:r>
      <w:r w:rsidR="00536D89" w:rsidRPr="00F17CAF">
        <w:rPr>
          <w:sz w:val="24"/>
          <w:szCs w:val="24"/>
        </w:rPr>
        <w:t>s</w:t>
      </w:r>
      <w:r w:rsidR="00B76297" w:rsidRPr="00F17CAF">
        <w:rPr>
          <w:sz w:val="24"/>
          <w:szCs w:val="24"/>
        </w:rPr>
        <w:t xml:space="preserve"> to offer centers the option to choose a blended rate/claiming percentage. </w:t>
      </w:r>
      <w:r w:rsidR="00536D89" w:rsidRPr="00F17CAF">
        <w:rPr>
          <w:sz w:val="24"/>
          <w:szCs w:val="24"/>
        </w:rPr>
        <w:t xml:space="preserve"> The final rule will need language modifying the current 7CFR 226.9 </w:t>
      </w:r>
      <w:r w:rsidR="00B76297" w:rsidRPr="00F17CAF">
        <w:rPr>
          <w:sz w:val="24"/>
          <w:szCs w:val="24"/>
        </w:rPr>
        <w:t xml:space="preserve">to </w:t>
      </w:r>
      <w:r w:rsidR="00D75B03" w:rsidRPr="00F17CAF">
        <w:rPr>
          <w:sz w:val="24"/>
          <w:szCs w:val="24"/>
        </w:rPr>
        <w:t xml:space="preserve">guarantee </w:t>
      </w:r>
      <w:r w:rsidR="00B76297" w:rsidRPr="00F17CAF">
        <w:rPr>
          <w:sz w:val="24"/>
          <w:szCs w:val="24"/>
        </w:rPr>
        <w:t xml:space="preserve">all centers access to a blended rate/claiming percentage. </w:t>
      </w:r>
    </w:p>
    <w:p w14:paraId="1DF14965" w14:textId="77777777" w:rsidR="005F537E" w:rsidRPr="00F17CAF" w:rsidRDefault="005F537E" w:rsidP="00DC028F">
      <w:pPr>
        <w:pStyle w:val="NoSpacing"/>
        <w:ind w:left="720"/>
        <w:rPr>
          <w:sz w:val="24"/>
          <w:szCs w:val="24"/>
        </w:rPr>
      </w:pPr>
    </w:p>
    <w:p w14:paraId="4C995BC4" w14:textId="77777777" w:rsidR="00DC028F" w:rsidRPr="00F17CAF" w:rsidRDefault="0083288B" w:rsidP="00DC028F">
      <w:pPr>
        <w:pStyle w:val="NoSpacing"/>
        <w:ind w:left="720"/>
        <w:rPr>
          <w:sz w:val="24"/>
          <w:szCs w:val="24"/>
        </w:rPr>
      </w:pPr>
      <w:r w:rsidRPr="00F17CAF">
        <w:rPr>
          <w:sz w:val="24"/>
          <w:szCs w:val="24"/>
        </w:rPr>
        <w:t xml:space="preserve">The proposed rule is confusing and seems to create the potential for </w:t>
      </w:r>
      <w:r w:rsidR="00B76297" w:rsidRPr="00F17CAF">
        <w:rPr>
          <w:sz w:val="24"/>
          <w:szCs w:val="24"/>
        </w:rPr>
        <w:t>a complex two-</w:t>
      </w:r>
      <w:r w:rsidRPr="00F17CAF">
        <w:rPr>
          <w:sz w:val="24"/>
          <w:szCs w:val="24"/>
        </w:rPr>
        <w:t xml:space="preserve">tiered system of blended rate eligibility in some states: </w:t>
      </w:r>
    </w:p>
    <w:p w14:paraId="32625142" w14:textId="77777777" w:rsidR="00DC028F" w:rsidRPr="00F17CAF" w:rsidRDefault="00B76297" w:rsidP="0083288B">
      <w:pPr>
        <w:pStyle w:val="NoSpacing"/>
        <w:numPr>
          <w:ilvl w:val="1"/>
          <w:numId w:val="6"/>
        </w:numPr>
        <w:rPr>
          <w:sz w:val="24"/>
          <w:szCs w:val="24"/>
        </w:rPr>
      </w:pPr>
      <w:r w:rsidRPr="00F17CAF">
        <w:rPr>
          <w:sz w:val="24"/>
          <w:szCs w:val="24"/>
        </w:rPr>
        <w:t>f</w:t>
      </w:r>
      <w:r w:rsidR="0083288B" w:rsidRPr="00F17CAF">
        <w:rPr>
          <w:sz w:val="24"/>
          <w:szCs w:val="24"/>
        </w:rPr>
        <w:t>or-profit c</w:t>
      </w:r>
      <w:r w:rsidR="00DC028F" w:rsidRPr="00F17CAF">
        <w:rPr>
          <w:sz w:val="24"/>
          <w:szCs w:val="24"/>
        </w:rPr>
        <w:t xml:space="preserve">enters serving 50 percent or more low-income children would be </w:t>
      </w:r>
      <w:r w:rsidR="0083288B" w:rsidRPr="00F17CAF">
        <w:rPr>
          <w:sz w:val="24"/>
          <w:szCs w:val="24"/>
        </w:rPr>
        <w:t>operating under blended rates, and</w:t>
      </w:r>
    </w:p>
    <w:p w14:paraId="00D42FC4" w14:textId="77777777" w:rsidR="0083288B" w:rsidRPr="00F17CAF" w:rsidRDefault="00B76297" w:rsidP="0083288B">
      <w:pPr>
        <w:pStyle w:val="NoSpacing"/>
        <w:numPr>
          <w:ilvl w:val="1"/>
          <w:numId w:val="6"/>
        </w:numPr>
        <w:rPr>
          <w:sz w:val="24"/>
          <w:szCs w:val="24"/>
        </w:rPr>
      </w:pPr>
      <w:r w:rsidRPr="00F17CAF">
        <w:rPr>
          <w:sz w:val="24"/>
          <w:szCs w:val="24"/>
        </w:rPr>
        <w:t>f</w:t>
      </w:r>
      <w:r w:rsidR="0083288B" w:rsidRPr="00F17CAF">
        <w:rPr>
          <w:sz w:val="24"/>
          <w:szCs w:val="24"/>
        </w:rPr>
        <w:t>or-profit centers serving between 25 percent and 50 percent low-income children, and potentially non-profit centers, would not be eligible for blended rates and would instead be operating under actuals.</w:t>
      </w:r>
    </w:p>
    <w:p w14:paraId="67391D0F" w14:textId="77777777" w:rsidR="00B6763B" w:rsidRPr="00F17CAF" w:rsidRDefault="00B76297" w:rsidP="001C3887">
      <w:pPr>
        <w:pStyle w:val="NoSpacing"/>
        <w:ind w:left="720"/>
        <w:rPr>
          <w:sz w:val="24"/>
          <w:szCs w:val="24"/>
        </w:rPr>
      </w:pPr>
      <w:r w:rsidRPr="00F17CAF">
        <w:rPr>
          <w:sz w:val="24"/>
          <w:szCs w:val="24"/>
        </w:rPr>
        <w:t xml:space="preserve">Under this scenario, how would </w:t>
      </w:r>
      <w:r w:rsidR="00AC33C0" w:rsidRPr="00F17CAF">
        <w:rPr>
          <w:sz w:val="24"/>
          <w:szCs w:val="24"/>
        </w:rPr>
        <w:t>state</w:t>
      </w:r>
      <w:r w:rsidR="00D75B03" w:rsidRPr="00F17CAF">
        <w:rPr>
          <w:sz w:val="24"/>
          <w:szCs w:val="24"/>
        </w:rPr>
        <w:t xml:space="preserve"> agencies</w:t>
      </w:r>
      <w:r w:rsidR="00AC33C0" w:rsidRPr="00F17CAF">
        <w:rPr>
          <w:sz w:val="24"/>
          <w:szCs w:val="24"/>
        </w:rPr>
        <w:t xml:space="preserve"> and sponsors </w:t>
      </w:r>
      <w:r w:rsidRPr="00F17CAF">
        <w:rPr>
          <w:sz w:val="24"/>
          <w:szCs w:val="24"/>
        </w:rPr>
        <w:t xml:space="preserve">handle </w:t>
      </w:r>
      <w:r w:rsidR="005F537E" w:rsidRPr="00F17CAF">
        <w:rPr>
          <w:sz w:val="24"/>
          <w:szCs w:val="24"/>
        </w:rPr>
        <w:t xml:space="preserve">situations with mixed eligibility, such as </w:t>
      </w:r>
      <w:r w:rsidR="00D75B03" w:rsidRPr="00F17CAF">
        <w:rPr>
          <w:sz w:val="24"/>
          <w:szCs w:val="24"/>
        </w:rPr>
        <w:t xml:space="preserve">a </w:t>
      </w:r>
      <w:r w:rsidR="00AC33C0" w:rsidRPr="00F17CAF">
        <w:rPr>
          <w:sz w:val="24"/>
          <w:szCs w:val="24"/>
        </w:rPr>
        <w:t xml:space="preserve">sponsorship </w:t>
      </w:r>
      <w:r w:rsidR="00D75B03" w:rsidRPr="00F17CAF">
        <w:rPr>
          <w:sz w:val="24"/>
          <w:szCs w:val="24"/>
        </w:rPr>
        <w:t xml:space="preserve">serving </w:t>
      </w:r>
      <w:r w:rsidR="005F537E" w:rsidRPr="00F17CAF">
        <w:rPr>
          <w:sz w:val="24"/>
          <w:szCs w:val="24"/>
        </w:rPr>
        <w:t xml:space="preserve">both </w:t>
      </w:r>
      <w:r w:rsidR="00AC33C0" w:rsidRPr="00F17CAF">
        <w:rPr>
          <w:sz w:val="24"/>
          <w:szCs w:val="24"/>
        </w:rPr>
        <w:t xml:space="preserve">centers claiming as a blended rate </w:t>
      </w:r>
      <w:r w:rsidR="005F537E" w:rsidRPr="00F17CAF">
        <w:rPr>
          <w:sz w:val="24"/>
          <w:szCs w:val="24"/>
        </w:rPr>
        <w:t>and centers that cannot</w:t>
      </w:r>
      <w:r w:rsidRPr="00F17CAF">
        <w:rPr>
          <w:sz w:val="24"/>
          <w:szCs w:val="24"/>
        </w:rPr>
        <w:t xml:space="preserve">?  This introduces significant complexities which will be difficult to resolve.  </w:t>
      </w:r>
      <w:r w:rsidR="00AC33C0" w:rsidRPr="00F17CAF">
        <w:rPr>
          <w:sz w:val="24"/>
          <w:szCs w:val="24"/>
        </w:rPr>
        <w:t xml:space="preserve"> </w:t>
      </w:r>
    </w:p>
    <w:p w14:paraId="151CC4C2" w14:textId="77777777" w:rsidR="00B6763B" w:rsidRPr="00F17CAF" w:rsidRDefault="00B6763B" w:rsidP="001C3887">
      <w:pPr>
        <w:pStyle w:val="NoSpacing"/>
        <w:ind w:left="720"/>
        <w:rPr>
          <w:sz w:val="24"/>
          <w:szCs w:val="24"/>
        </w:rPr>
      </w:pPr>
    </w:p>
    <w:p w14:paraId="1EF6E28A" w14:textId="77777777" w:rsidR="00536D89" w:rsidRPr="00F17CAF" w:rsidRDefault="003E3496" w:rsidP="00F17CAF">
      <w:pPr>
        <w:pStyle w:val="ListParagraph"/>
        <w:numPr>
          <w:ilvl w:val="0"/>
          <w:numId w:val="17"/>
        </w:numPr>
        <w:rPr>
          <w:b/>
          <w:sz w:val="24"/>
          <w:szCs w:val="24"/>
        </w:rPr>
      </w:pPr>
      <w:r w:rsidRPr="00F17CAF">
        <w:rPr>
          <w:b/>
          <w:sz w:val="24"/>
          <w:szCs w:val="24"/>
        </w:rPr>
        <w:t xml:space="preserve">Recommendation: </w:t>
      </w:r>
      <w:r w:rsidR="00536D89" w:rsidRPr="00F17CAF">
        <w:rPr>
          <w:b/>
          <w:sz w:val="24"/>
          <w:szCs w:val="24"/>
        </w:rPr>
        <w:t xml:space="preserve">Allow all centers the option of amending the annual blended rate more frequently than annually. </w:t>
      </w:r>
    </w:p>
    <w:p w14:paraId="3C94ACE5" w14:textId="6DC76382" w:rsidR="00A76BB2" w:rsidRPr="00F17CAF" w:rsidRDefault="00A76BB2" w:rsidP="001C3887">
      <w:pPr>
        <w:pStyle w:val="NoSpacing"/>
        <w:ind w:left="720"/>
        <w:rPr>
          <w:sz w:val="24"/>
          <w:szCs w:val="24"/>
        </w:rPr>
      </w:pPr>
      <w:r w:rsidRPr="00F17CAF">
        <w:rPr>
          <w:sz w:val="24"/>
          <w:szCs w:val="24"/>
        </w:rPr>
        <w:t xml:space="preserve">Sponsors and centers already have this </w:t>
      </w:r>
      <w:r w:rsidR="00A44252" w:rsidRPr="00F17CAF">
        <w:rPr>
          <w:sz w:val="24"/>
          <w:szCs w:val="24"/>
        </w:rPr>
        <w:t>option in some</w:t>
      </w:r>
      <w:r w:rsidR="000026E9" w:rsidRPr="00F17CAF">
        <w:rPr>
          <w:sz w:val="24"/>
          <w:szCs w:val="24"/>
        </w:rPr>
        <w:t xml:space="preserve"> states</w:t>
      </w:r>
      <w:r w:rsidR="00A44252" w:rsidRPr="00F17CAF">
        <w:rPr>
          <w:sz w:val="24"/>
          <w:szCs w:val="24"/>
        </w:rPr>
        <w:t xml:space="preserve">.  </w:t>
      </w:r>
      <w:r w:rsidR="000026E9" w:rsidRPr="00F17CAF">
        <w:rPr>
          <w:sz w:val="24"/>
          <w:szCs w:val="24"/>
        </w:rPr>
        <w:t>This type of flexibility has</w:t>
      </w:r>
      <w:r w:rsidR="00A44252" w:rsidRPr="00F17CAF">
        <w:rPr>
          <w:sz w:val="24"/>
          <w:szCs w:val="24"/>
        </w:rPr>
        <w:t xml:space="preserve"> work</w:t>
      </w:r>
      <w:r w:rsidR="000026E9" w:rsidRPr="00F17CAF">
        <w:rPr>
          <w:sz w:val="24"/>
          <w:szCs w:val="24"/>
        </w:rPr>
        <w:t>ed</w:t>
      </w:r>
      <w:r w:rsidR="00A44252" w:rsidRPr="00F17CAF">
        <w:rPr>
          <w:sz w:val="24"/>
          <w:szCs w:val="24"/>
        </w:rPr>
        <w:t xml:space="preserve"> effectively</w:t>
      </w:r>
      <w:r w:rsidR="007258F6" w:rsidRPr="00F17CAF">
        <w:rPr>
          <w:sz w:val="24"/>
          <w:szCs w:val="24"/>
        </w:rPr>
        <w:t xml:space="preserve"> for sponsors and centers</w:t>
      </w:r>
      <w:r w:rsidR="00A44252" w:rsidRPr="00F17CAF">
        <w:rPr>
          <w:sz w:val="24"/>
          <w:szCs w:val="24"/>
        </w:rPr>
        <w:t xml:space="preserve">. </w:t>
      </w:r>
      <w:r w:rsidR="000026E9" w:rsidRPr="00F17CAF">
        <w:rPr>
          <w:sz w:val="24"/>
          <w:szCs w:val="24"/>
        </w:rPr>
        <w:t xml:space="preserve"> </w:t>
      </w:r>
    </w:p>
    <w:p w14:paraId="2EB99D97" w14:textId="77777777" w:rsidR="00694F67" w:rsidRPr="00F17CAF" w:rsidRDefault="00694F67" w:rsidP="001C3887">
      <w:pPr>
        <w:pStyle w:val="NoSpacing"/>
        <w:ind w:left="720"/>
        <w:rPr>
          <w:sz w:val="24"/>
          <w:szCs w:val="24"/>
        </w:rPr>
      </w:pPr>
    </w:p>
    <w:p w14:paraId="43820BC2" w14:textId="1DF895DD" w:rsidR="003E3496" w:rsidRPr="00F17CAF" w:rsidRDefault="003E3496" w:rsidP="00F17CAF">
      <w:pPr>
        <w:pStyle w:val="ListParagraph"/>
        <w:numPr>
          <w:ilvl w:val="0"/>
          <w:numId w:val="17"/>
        </w:numPr>
        <w:rPr>
          <w:b/>
          <w:sz w:val="24"/>
          <w:szCs w:val="24"/>
        </w:rPr>
      </w:pPr>
      <w:bookmarkStart w:id="9" w:name="_Hlk531204452"/>
      <w:r w:rsidRPr="00F17CAF">
        <w:rPr>
          <w:b/>
          <w:sz w:val="24"/>
          <w:szCs w:val="24"/>
        </w:rPr>
        <w:t xml:space="preserve">Recommendation: </w:t>
      </w:r>
      <w:bookmarkStart w:id="10" w:name="_Hlk531547718"/>
      <w:r w:rsidRPr="00F17CAF">
        <w:rPr>
          <w:b/>
          <w:sz w:val="24"/>
          <w:szCs w:val="24"/>
        </w:rPr>
        <w:t xml:space="preserve">Provide State agencies clear guidance on the implementation of annual blended rates and adjustments: emphasize the importance of practical and reasonable review policies and prohibit punitive policies which automatically generate increased scrutiny of centers making adjustments.   </w:t>
      </w:r>
      <w:bookmarkEnd w:id="10"/>
    </w:p>
    <w:p w14:paraId="3872BA7F" w14:textId="77777777" w:rsidR="00B22F1A" w:rsidRPr="00F17CAF" w:rsidRDefault="00B22F1A" w:rsidP="00B22F1A">
      <w:pPr>
        <w:pStyle w:val="ListParagraph"/>
        <w:spacing w:after="0"/>
        <w:rPr>
          <w:b/>
          <w:sz w:val="24"/>
          <w:szCs w:val="24"/>
        </w:rPr>
      </w:pPr>
    </w:p>
    <w:p w14:paraId="36544535" w14:textId="50D3786D" w:rsidR="001C3887" w:rsidRPr="00F17CAF" w:rsidRDefault="00EA6A3B" w:rsidP="001C3887">
      <w:pPr>
        <w:pStyle w:val="NoSpacing"/>
        <w:ind w:left="720"/>
        <w:rPr>
          <w:sz w:val="24"/>
          <w:szCs w:val="24"/>
        </w:rPr>
      </w:pPr>
      <w:r w:rsidRPr="00F17CAF">
        <w:rPr>
          <w:sz w:val="24"/>
          <w:szCs w:val="24"/>
        </w:rPr>
        <w:t xml:space="preserve">Clear guidance will be fundamental </w:t>
      </w:r>
      <w:r w:rsidR="00513AF0" w:rsidRPr="00F17CAF">
        <w:rPr>
          <w:sz w:val="24"/>
          <w:szCs w:val="24"/>
        </w:rPr>
        <w:t>to the</w:t>
      </w:r>
      <w:r w:rsidRPr="00F17CAF">
        <w:rPr>
          <w:sz w:val="24"/>
          <w:szCs w:val="24"/>
        </w:rPr>
        <w:t xml:space="preserve"> success</w:t>
      </w:r>
      <w:r w:rsidR="00A44252" w:rsidRPr="00F17CAF">
        <w:rPr>
          <w:sz w:val="24"/>
          <w:szCs w:val="24"/>
        </w:rPr>
        <w:t xml:space="preserve">ful implementation of </w:t>
      </w:r>
      <w:r w:rsidRPr="00F17CAF">
        <w:rPr>
          <w:sz w:val="24"/>
          <w:szCs w:val="24"/>
        </w:rPr>
        <w:t>new payment procedures including the annual blended rates</w:t>
      </w:r>
      <w:r w:rsidR="006D1343" w:rsidRPr="00F17CAF">
        <w:rPr>
          <w:sz w:val="24"/>
          <w:szCs w:val="24"/>
        </w:rPr>
        <w:t xml:space="preserve">. </w:t>
      </w:r>
      <w:r w:rsidR="00694F67" w:rsidRPr="00F17CAF">
        <w:rPr>
          <w:sz w:val="24"/>
          <w:szCs w:val="24"/>
        </w:rPr>
        <w:t xml:space="preserve"> Currently, there are widely varying and sometimes conflicting interpretations regarding the </w:t>
      </w:r>
      <w:r w:rsidR="00520E2C" w:rsidRPr="00F17CAF">
        <w:rPr>
          <w:sz w:val="24"/>
          <w:szCs w:val="24"/>
        </w:rPr>
        <w:t>interface between blended rates</w:t>
      </w:r>
      <w:r w:rsidR="00671964" w:rsidRPr="00F17CAF">
        <w:rPr>
          <w:sz w:val="24"/>
          <w:szCs w:val="24"/>
        </w:rPr>
        <w:t>/claiming percentage</w:t>
      </w:r>
      <w:r w:rsidR="00520E2C" w:rsidRPr="00F17CAF">
        <w:rPr>
          <w:sz w:val="24"/>
          <w:szCs w:val="24"/>
        </w:rPr>
        <w:t xml:space="preserve"> adjustments, reviews, findings and back claim periods</w:t>
      </w:r>
      <w:r w:rsidR="004F4944" w:rsidRPr="00F17CAF">
        <w:rPr>
          <w:sz w:val="24"/>
          <w:szCs w:val="24"/>
        </w:rPr>
        <w:t xml:space="preserve">.  </w:t>
      </w:r>
      <w:r w:rsidR="00AC33C0" w:rsidRPr="00F17CAF">
        <w:rPr>
          <w:sz w:val="24"/>
          <w:szCs w:val="24"/>
        </w:rPr>
        <w:t xml:space="preserve">For example, </w:t>
      </w:r>
      <w:r w:rsidR="005F537E" w:rsidRPr="00F17CAF">
        <w:rPr>
          <w:sz w:val="24"/>
          <w:szCs w:val="24"/>
        </w:rPr>
        <w:t xml:space="preserve">under the current regulations, </w:t>
      </w:r>
      <w:r w:rsidR="00AC33C0" w:rsidRPr="00F17CAF">
        <w:rPr>
          <w:sz w:val="24"/>
          <w:szCs w:val="24"/>
        </w:rPr>
        <w:t xml:space="preserve">some state agencies have expressed </w:t>
      </w:r>
      <w:r w:rsidR="00AC33C0" w:rsidRPr="00F17CAF">
        <w:rPr>
          <w:sz w:val="24"/>
          <w:szCs w:val="24"/>
        </w:rPr>
        <w:lastRenderedPageBreak/>
        <w:t xml:space="preserve">concern that if a sponsor chooses to re-lock claiming </w:t>
      </w:r>
      <w:bookmarkEnd w:id="9"/>
      <w:r w:rsidR="00AC33C0" w:rsidRPr="00F17CAF">
        <w:rPr>
          <w:sz w:val="24"/>
          <w:szCs w:val="24"/>
        </w:rPr>
        <w:t xml:space="preserve">percentages each month, it </w:t>
      </w:r>
      <w:r w:rsidR="00D41F87" w:rsidRPr="00F17CAF">
        <w:rPr>
          <w:sz w:val="24"/>
          <w:szCs w:val="24"/>
        </w:rPr>
        <w:t>warrants conducting</w:t>
      </w:r>
      <w:r w:rsidR="00AC33C0" w:rsidRPr="00F17CAF">
        <w:rPr>
          <w:sz w:val="24"/>
          <w:szCs w:val="24"/>
        </w:rPr>
        <w:t xml:space="preserve"> a more thorough </w:t>
      </w:r>
      <w:r w:rsidR="00D41F87" w:rsidRPr="00F17CAF">
        <w:rPr>
          <w:sz w:val="24"/>
          <w:szCs w:val="24"/>
        </w:rPr>
        <w:t xml:space="preserve">program </w:t>
      </w:r>
      <w:r w:rsidR="00AC33C0" w:rsidRPr="00F17CAF">
        <w:rPr>
          <w:sz w:val="24"/>
          <w:szCs w:val="24"/>
        </w:rPr>
        <w:t>review</w:t>
      </w:r>
      <w:r w:rsidR="00D41F87" w:rsidRPr="00F17CAF">
        <w:rPr>
          <w:sz w:val="24"/>
          <w:szCs w:val="24"/>
        </w:rPr>
        <w:t>.</w:t>
      </w:r>
      <w:r w:rsidR="00AC33C0" w:rsidRPr="00F17CAF">
        <w:rPr>
          <w:sz w:val="24"/>
          <w:szCs w:val="24"/>
        </w:rPr>
        <w:t xml:space="preserve"> Conversely, other states have expressed concern when locked numbers are used, expressing that findings from a state program review would need to be investigated back to the date the claim numbers were locked and payback would be calculated for the full amount of time instead of just the sample month. </w:t>
      </w:r>
      <w:bookmarkStart w:id="11" w:name="_Hlk531174012"/>
      <w:r w:rsidR="00B22F1A" w:rsidRPr="00F17CAF">
        <w:rPr>
          <w:sz w:val="24"/>
          <w:szCs w:val="24"/>
        </w:rPr>
        <w:t xml:space="preserve">States agencies should not take a more punitive approach to sponsors or centers that adjust their blended rates/claiming percentage more than they would for centers or sponsors that do not adjust their blended rates. </w:t>
      </w:r>
      <w:r w:rsidR="00AC33C0" w:rsidRPr="00F17CAF">
        <w:rPr>
          <w:sz w:val="24"/>
          <w:szCs w:val="24"/>
        </w:rPr>
        <w:t>Without clear guidance from USDA to state agencies on how to ‘handle’ findings with locked numbers, this could introduce significant complexity and lack of consistency across state agencies.</w:t>
      </w:r>
      <w:bookmarkEnd w:id="11"/>
    </w:p>
    <w:p w14:paraId="5BBFC350" w14:textId="66B4CC78" w:rsidR="008A467A" w:rsidRPr="00F17CAF" w:rsidRDefault="008A467A" w:rsidP="001C3887">
      <w:pPr>
        <w:pStyle w:val="NoSpacing"/>
        <w:ind w:left="720"/>
        <w:rPr>
          <w:sz w:val="24"/>
          <w:szCs w:val="24"/>
        </w:rPr>
      </w:pPr>
    </w:p>
    <w:p w14:paraId="411513D3" w14:textId="3802BFAF" w:rsidR="008A467A" w:rsidRPr="00F17CAF" w:rsidRDefault="008A467A" w:rsidP="00F17CAF">
      <w:pPr>
        <w:pStyle w:val="NoSpacing"/>
        <w:numPr>
          <w:ilvl w:val="0"/>
          <w:numId w:val="17"/>
        </w:numPr>
        <w:rPr>
          <w:b/>
          <w:sz w:val="24"/>
          <w:szCs w:val="24"/>
        </w:rPr>
      </w:pPr>
      <w:r w:rsidRPr="00F17CAF">
        <w:rPr>
          <w:b/>
          <w:sz w:val="24"/>
          <w:szCs w:val="24"/>
        </w:rPr>
        <w:t xml:space="preserve">Recommendation: </w:t>
      </w:r>
      <w:bookmarkStart w:id="12" w:name="_Hlk531548789"/>
      <w:r w:rsidR="009C2EF3" w:rsidRPr="00F17CAF">
        <w:rPr>
          <w:b/>
          <w:sz w:val="24"/>
          <w:szCs w:val="24"/>
        </w:rPr>
        <w:t xml:space="preserve">Require </w:t>
      </w:r>
      <w:r w:rsidR="0036650E" w:rsidRPr="00F17CAF">
        <w:rPr>
          <w:b/>
          <w:sz w:val="24"/>
          <w:szCs w:val="24"/>
        </w:rPr>
        <w:t>State agencies calculate</w:t>
      </w:r>
      <w:r w:rsidRPr="00F17CAF">
        <w:rPr>
          <w:b/>
          <w:sz w:val="24"/>
          <w:szCs w:val="24"/>
        </w:rPr>
        <w:t xml:space="preserve"> payments to </w:t>
      </w:r>
      <w:r w:rsidR="0036650E" w:rsidRPr="00F17CAF">
        <w:rPr>
          <w:b/>
          <w:sz w:val="24"/>
          <w:szCs w:val="24"/>
        </w:rPr>
        <w:t xml:space="preserve">sponsors based on </w:t>
      </w:r>
      <w:r w:rsidRPr="00F17CAF">
        <w:rPr>
          <w:b/>
          <w:sz w:val="24"/>
          <w:szCs w:val="24"/>
        </w:rPr>
        <w:t>each center’s blended-rate instead of paying based on the average of the blended-rates of all centers under the sponsoring organization.</w:t>
      </w:r>
      <w:bookmarkEnd w:id="12"/>
    </w:p>
    <w:p w14:paraId="30B31264" w14:textId="60D562F0" w:rsidR="008A467A" w:rsidRPr="00F17CAF" w:rsidRDefault="008A467A" w:rsidP="008A467A">
      <w:pPr>
        <w:pStyle w:val="NoSpacing"/>
        <w:ind w:left="720"/>
        <w:rPr>
          <w:sz w:val="24"/>
          <w:szCs w:val="24"/>
        </w:rPr>
      </w:pPr>
    </w:p>
    <w:p w14:paraId="75417E81" w14:textId="15415BBB" w:rsidR="008A467A" w:rsidRPr="00F17CAF" w:rsidRDefault="008A467A" w:rsidP="008A467A">
      <w:pPr>
        <w:pStyle w:val="NoSpacing"/>
        <w:ind w:left="720"/>
        <w:rPr>
          <w:sz w:val="24"/>
          <w:szCs w:val="24"/>
        </w:rPr>
      </w:pPr>
      <w:r w:rsidRPr="00F17CAF">
        <w:rPr>
          <w:sz w:val="24"/>
          <w:szCs w:val="24"/>
        </w:rPr>
        <w:t>The Paperwork Reduction Work Group recommended that USDA require State agencies to base payment to sponsored centers on each center’s</w:t>
      </w:r>
      <w:r w:rsidR="0036650E" w:rsidRPr="00F17CAF">
        <w:rPr>
          <w:sz w:val="24"/>
          <w:szCs w:val="24"/>
        </w:rPr>
        <w:t xml:space="preserve"> blended</w:t>
      </w:r>
      <w:r w:rsidRPr="00F17CAF">
        <w:rPr>
          <w:sz w:val="24"/>
          <w:szCs w:val="24"/>
        </w:rPr>
        <w:t xml:space="preserve"> rate rather than paying </w:t>
      </w:r>
      <w:r w:rsidR="0036650E" w:rsidRPr="00F17CAF">
        <w:rPr>
          <w:sz w:val="24"/>
          <w:szCs w:val="24"/>
        </w:rPr>
        <w:t xml:space="preserve">based on the </w:t>
      </w:r>
      <w:r w:rsidRPr="00F17CAF">
        <w:rPr>
          <w:sz w:val="24"/>
          <w:szCs w:val="24"/>
        </w:rPr>
        <w:t xml:space="preserve">average of </w:t>
      </w:r>
      <w:r w:rsidR="0036650E" w:rsidRPr="00F17CAF">
        <w:rPr>
          <w:sz w:val="24"/>
          <w:szCs w:val="24"/>
        </w:rPr>
        <w:t xml:space="preserve">the blended rates of </w:t>
      </w:r>
      <w:r w:rsidR="007258F6" w:rsidRPr="00F17CAF">
        <w:rPr>
          <w:sz w:val="24"/>
          <w:szCs w:val="24"/>
        </w:rPr>
        <w:t xml:space="preserve">all </w:t>
      </w:r>
      <w:r w:rsidRPr="00F17CAF">
        <w:rPr>
          <w:sz w:val="24"/>
          <w:szCs w:val="24"/>
        </w:rPr>
        <w:t>the centers under the sp</w:t>
      </w:r>
      <w:r w:rsidR="0036650E" w:rsidRPr="00F17CAF">
        <w:rPr>
          <w:sz w:val="24"/>
          <w:szCs w:val="24"/>
        </w:rPr>
        <w:t>onsorship.   Creating an average of the payment rates for all the centers under a sponsorship does not accurately reflect the real payment owned</w:t>
      </w:r>
      <w:r w:rsidR="007258F6" w:rsidRPr="00F17CAF">
        <w:rPr>
          <w:sz w:val="24"/>
          <w:szCs w:val="24"/>
        </w:rPr>
        <w:t xml:space="preserve"> to each center.</w:t>
      </w:r>
      <w:r w:rsidR="0036650E" w:rsidRPr="00F17CAF">
        <w:rPr>
          <w:sz w:val="24"/>
          <w:szCs w:val="24"/>
        </w:rPr>
        <w:t xml:space="preserve"> USD</w:t>
      </w:r>
      <w:r w:rsidR="007258F6" w:rsidRPr="00F17CAF">
        <w:rPr>
          <w:sz w:val="24"/>
          <w:szCs w:val="24"/>
        </w:rPr>
        <w:t xml:space="preserve">A has already taken </w:t>
      </w:r>
      <w:r w:rsidR="0036650E" w:rsidRPr="00F17CAF">
        <w:rPr>
          <w:sz w:val="24"/>
          <w:szCs w:val="24"/>
        </w:rPr>
        <w:t>steps to reduce the use of this method</w:t>
      </w:r>
      <w:r w:rsidR="007258F6" w:rsidRPr="00F17CAF">
        <w:rPr>
          <w:sz w:val="24"/>
          <w:szCs w:val="24"/>
        </w:rPr>
        <w:t xml:space="preserve">. </w:t>
      </w:r>
    </w:p>
    <w:p w14:paraId="0768BED3" w14:textId="0D82DA0E" w:rsidR="007258F6" w:rsidRPr="00F17CAF" w:rsidRDefault="007258F6" w:rsidP="008A467A">
      <w:pPr>
        <w:pStyle w:val="NoSpacing"/>
        <w:ind w:left="720"/>
        <w:rPr>
          <w:sz w:val="24"/>
          <w:szCs w:val="24"/>
        </w:rPr>
      </w:pPr>
    </w:p>
    <w:p w14:paraId="6FF41676" w14:textId="1EA9CDCE" w:rsidR="007258F6" w:rsidRPr="00F17CAF" w:rsidRDefault="00512398" w:rsidP="00F17CAF">
      <w:pPr>
        <w:pStyle w:val="NoSpacing"/>
        <w:numPr>
          <w:ilvl w:val="0"/>
          <w:numId w:val="17"/>
        </w:numPr>
        <w:rPr>
          <w:b/>
          <w:sz w:val="24"/>
          <w:szCs w:val="24"/>
        </w:rPr>
      </w:pPr>
      <w:bookmarkStart w:id="13" w:name="_Hlk531549943"/>
      <w:r>
        <w:rPr>
          <w:b/>
          <w:sz w:val="24"/>
          <w:szCs w:val="24"/>
        </w:rPr>
        <w:t xml:space="preserve">Recommendation: </w:t>
      </w:r>
      <w:r w:rsidR="007258F6" w:rsidRPr="00F17CAF">
        <w:rPr>
          <w:b/>
          <w:sz w:val="24"/>
          <w:szCs w:val="24"/>
        </w:rPr>
        <w:t>Provide State agencies with the best practices (specifications and contracts), technical assistance, resources, and leverage to procure the necessary programming and MIS system enhancements to implement the new rule.</w:t>
      </w:r>
    </w:p>
    <w:bookmarkEnd w:id="13"/>
    <w:p w14:paraId="6DB5DB3F" w14:textId="77777777" w:rsidR="007258F6" w:rsidRPr="00F17CAF" w:rsidRDefault="007258F6" w:rsidP="008A467A">
      <w:pPr>
        <w:pStyle w:val="NoSpacing"/>
        <w:ind w:left="720"/>
        <w:rPr>
          <w:sz w:val="24"/>
          <w:szCs w:val="24"/>
        </w:rPr>
      </w:pPr>
    </w:p>
    <w:p w14:paraId="73317A4F" w14:textId="1F14D29D" w:rsidR="007258F6" w:rsidRPr="00F17CAF" w:rsidRDefault="007258F6" w:rsidP="008A467A">
      <w:pPr>
        <w:pStyle w:val="NoSpacing"/>
        <w:ind w:left="720"/>
        <w:rPr>
          <w:sz w:val="24"/>
          <w:szCs w:val="24"/>
        </w:rPr>
      </w:pPr>
      <w:r w:rsidRPr="00F17CAF">
        <w:rPr>
          <w:sz w:val="24"/>
          <w:szCs w:val="24"/>
        </w:rPr>
        <w:t xml:space="preserve">State CACFP agencies, </w:t>
      </w:r>
      <w:r w:rsidR="009C2EF3" w:rsidRPr="00F17CAF">
        <w:rPr>
          <w:sz w:val="24"/>
          <w:szCs w:val="24"/>
        </w:rPr>
        <w:t xml:space="preserve">often </w:t>
      </w:r>
      <w:r w:rsidRPr="00F17CAF">
        <w:rPr>
          <w:sz w:val="24"/>
          <w:szCs w:val="24"/>
        </w:rPr>
        <w:t>struggling with legacy IT systems and software designed primarily for schools, a</w:t>
      </w:r>
      <w:r w:rsidR="009C2EF3" w:rsidRPr="00F17CAF">
        <w:rPr>
          <w:sz w:val="24"/>
          <w:szCs w:val="24"/>
        </w:rPr>
        <w:t xml:space="preserve">re often challenged to find </w:t>
      </w:r>
      <w:r w:rsidRPr="00F17CAF">
        <w:rPr>
          <w:sz w:val="24"/>
          <w:szCs w:val="24"/>
        </w:rPr>
        <w:t xml:space="preserve">ways to make </w:t>
      </w:r>
      <w:r w:rsidR="009C2EF3" w:rsidRPr="00F17CAF">
        <w:rPr>
          <w:sz w:val="24"/>
          <w:szCs w:val="24"/>
        </w:rPr>
        <w:t>needed improvements</w:t>
      </w:r>
      <w:r w:rsidRPr="00F17CAF">
        <w:rPr>
          <w:sz w:val="24"/>
          <w:szCs w:val="24"/>
        </w:rPr>
        <w:t xml:space="preserve">. </w:t>
      </w:r>
      <w:r w:rsidR="009C2EF3" w:rsidRPr="00F17CAF">
        <w:rPr>
          <w:sz w:val="24"/>
          <w:szCs w:val="24"/>
        </w:rPr>
        <w:t xml:space="preserve"> Many </w:t>
      </w:r>
      <w:r w:rsidRPr="00F17CAF">
        <w:rPr>
          <w:sz w:val="24"/>
          <w:szCs w:val="24"/>
        </w:rPr>
        <w:t xml:space="preserve">State agencies will need best practices (specifications and contracts), technical assistance, resources, and leverage to procure the programming changes and MIS system enhancements necessary to accommodate </w:t>
      </w:r>
      <w:r w:rsidR="009C2EF3" w:rsidRPr="00F17CAF">
        <w:rPr>
          <w:sz w:val="24"/>
          <w:szCs w:val="24"/>
        </w:rPr>
        <w:t>the new rule</w:t>
      </w:r>
      <w:r w:rsidRPr="00F17CAF">
        <w:rPr>
          <w:sz w:val="24"/>
          <w:szCs w:val="24"/>
        </w:rPr>
        <w:t xml:space="preserve">.  USDA could facilitate State agency access to audit funds to help pay for MIS systems improvements and programming.  To the extent that special funds are available, USDA could provide grants to support State agency MIS improvements. In addition, USDA could issue letters for State CACFP agency staff to use to convince State governments to give CACFP priority with in-house IT staff or to hire outside consultants.  </w:t>
      </w:r>
      <w:r w:rsidR="009C2EF3" w:rsidRPr="00F17CAF">
        <w:rPr>
          <w:sz w:val="24"/>
          <w:szCs w:val="24"/>
        </w:rPr>
        <w:t>The Paperwork Reduction Work Group recommended this type of additional support for State agencies.  USDA has been working on increased support for State including integrating CACFP as part of the USDA Child Nutrition Programs technology conference.</w:t>
      </w:r>
    </w:p>
    <w:p w14:paraId="59EFE3BC" w14:textId="77777777" w:rsidR="001C3887" w:rsidRPr="00F17CAF" w:rsidRDefault="001C3887" w:rsidP="00D11E02">
      <w:pPr>
        <w:pStyle w:val="NoSpacing"/>
        <w:rPr>
          <w:sz w:val="24"/>
          <w:szCs w:val="24"/>
        </w:rPr>
      </w:pPr>
    </w:p>
    <w:p w14:paraId="63008933" w14:textId="4A9C2617" w:rsidR="001C3887" w:rsidRPr="00F17CAF" w:rsidRDefault="00272CF3" w:rsidP="001C3887">
      <w:pPr>
        <w:pStyle w:val="NoSpacing"/>
        <w:rPr>
          <w:b/>
          <w:sz w:val="24"/>
          <w:szCs w:val="24"/>
        </w:rPr>
      </w:pPr>
      <w:bookmarkStart w:id="14" w:name="_Hlk531172229"/>
      <w:r w:rsidRPr="00F17CAF">
        <w:rPr>
          <w:b/>
          <w:sz w:val="24"/>
          <w:szCs w:val="24"/>
        </w:rPr>
        <w:t xml:space="preserve">III.  </w:t>
      </w:r>
      <w:r w:rsidR="008A467A" w:rsidRPr="00F17CAF">
        <w:rPr>
          <w:b/>
          <w:sz w:val="24"/>
          <w:szCs w:val="24"/>
        </w:rPr>
        <w:t>State Agency R</w:t>
      </w:r>
      <w:r w:rsidR="007A4905" w:rsidRPr="00F17CAF">
        <w:rPr>
          <w:b/>
          <w:sz w:val="24"/>
          <w:szCs w:val="24"/>
        </w:rPr>
        <w:t>esponsibilities:</w:t>
      </w:r>
      <w:r w:rsidR="001C3887" w:rsidRPr="00F17CAF">
        <w:rPr>
          <w:b/>
          <w:sz w:val="24"/>
          <w:szCs w:val="24"/>
        </w:rPr>
        <w:t xml:space="preserve"> </w:t>
      </w:r>
      <w:r w:rsidR="008A467A" w:rsidRPr="00F17CAF">
        <w:rPr>
          <w:b/>
          <w:sz w:val="24"/>
          <w:szCs w:val="24"/>
        </w:rPr>
        <w:t>A</w:t>
      </w:r>
      <w:r w:rsidR="007A4905" w:rsidRPr="00F17CAF">
        <w:rPr>
          <w:b/>
          <w:sz w:val="24"/>
          <w:szCs w:val="24"/>
        </w:rPr>
        <w:t xml:space="preserve">nnual </w:t>
      </w:r>
      <w:r w:rsidR="008A467A" w:rsidRPr="00F17CAF">
        <w:rPr>
          <w:b/>
          <w:sz w:val="24"/>
          <w:szCs w:val="24"/>
        </w:rPr>
        <w:t>V</w:t>
      </w:r>
      <w:r w:rsidR="001C3887" w:rsidRPr="00F17CAF">
        <w:rPr>
          <w:b/>
          <w:sz w:val="24"/>
          <w:szCs w:val="24"/>
        </w:rPr>
        <w:t xml:space="preserve">erification </w:t>
      </w:r>
      <w:r w:rsidR="007A4905" w:rsidRPr="00F17CAF">
        <w:rPr>
          <w:b/>
          <w:sz w:val="24"/>
          <w:szCs w:val="24"/>
        </w:rPr>
        <w:t>of</w:t>
      </w:r>
      <w:r w:rsidR="008A467A" w:rsidRPr="00F17CAF">
        <w:rPr>
          <w:b/>
          <w:sz w:val="24"/>
          <w:szCs w:val="24"/>
        </w:rPr>
        <w:t xml:space="preserve"> For-profit Centers E</w:t>
      </w:r>
      <w:r w:rsidR="007A4905" w:rsidRPr="00F17CAF">
        <w:rPr>
          <w:b/>
          <w:sz w:val="24"/>
          <w:szCs w:val="24"/>
        </w:rPr>
        <w:t>ligibility</w:t>
      </w:r>
      <w:r w:rsidR="00F17CAF">
        <w:rPr>
          <w:b/>
          <w:sz w:val="24"/>
          <w:szCs w:val="24"/>
        </w:rPr>
        <w:t>:</w:t>
      </w:r>
    </w:p>
    <w:bookmarkEnd w:id="14"/>
    <w:p w14:paraId="269C4491" w14:textId="77777777" w:rsidR="00801615" w:rsidRPr="00F17CAF" w:rsidRDefault="00801615" w:rsidP="00AC33C0">
      <w:pPr>
        <w:pStyle w:val="NoSpacing"/>
        <w:ind w:left="720"/>
        <w:rPr>
          <w:b/>
          <w:sz w:val="24"/>
          <w:szCs w:val="24"/>
        </w:rPr>
      </w:pPr>
    </w:p>
    <w:p w14:paraId="01CA75EF" w14:textId="4491A6A1" w:rsidR="007F1F28" w:rsidRPr="00F17CAF" w:rsidRDefault="001C3887" w:rsidP="00F17CAF">
      <w:pPr>
        <w:pStyle w:val="NoSpacing"/>
        <w:numPr>
          <w:ilvl w:val="0"/>
          <w:numId w:val="18"/>
        </w:numPr>
        <w:rPr>
          <w:b/>
          <w:sz w:val="24"/>
          <w:szCs w:val="24"/>
        </w:rPr>
      </w:pPr>
      <w:r w:rsidRPr="00F17CAF">
        <w:rPr>
          <w:b/>
          <w:sz w:val="24"/>
          <w:szCs w:val="24"/>
        </w:rPr>
        <w:lastRenderedPageBreak/>
        <w:t>Recommendation:</w:t>
      </w:r>
      <w:r w:rsidR="00801615" w:rsidRPr="00F17CAF">
        <w:rPr>
          <w:b/>
          <w:sz w:val="24"/>
          <w:szCs w:val="24"/>
        </w:rPr>
        <w:t xml:space="preserve"> </w:t>
      </w:r>
      <w:bookmarkStart w:id="15" w:name="_Hlk531127256"/>
      <w:r w:rsidR="003E3496" w:rsidRPr="00F17CAF">
        <w:rPr>
          <w:b/>
          <w:sz w:val="24"/>
          <w:szCs w:val="24"/>
        </w:rPr>
        <w:t xml:space="preserve">Clarify the proposed State agency responsibilities (7 CFR 226.6) to prevent mis-interpretations and ensure the final rule does not generate significant new annual paperwork, documentation or auditing requirements related to annual eligibility.  </w:t>
      </w:r>
    </w:p>
    <w:p w14:paraId="5DF90183" w14:textId="77777777" w:rsidR="003E3496" w:rsidRPr="00F17CAF" w:rsidRDefault="003E3496" w:rsidP="003E3496">
      <w:pPr>
        <w:pStyle w:val="NoSpacing"/>
        <w:ind w:left="720"/>
        <w:rPr>
          <w:b/>
          <w:sz w:val="24"/>
          <w:szCs w:val="24"/>
        </w:rPr>
      </w:pPr>
    </w:p>
    <w:bookmarkEnd w:id="15"/>
    <w:p w14:paraId="4F1AFFAE" w14:textId="22B23DB1" w:rsidR="00274BE4" w:rsidRPr="00F17CAF" w:rsidRDefault="00D87720" w:rsidP="00520E2C">
      <w:pPr>
        <w:pStyle w:val="NoSpacing"/>
        <w:ind w:left="720"/>
        <w:rPr>
          <w:sz w:val="24"/>
          <w:szCs w:val="24"/>
        </w:rPr>
      </w:pPr>
      <w:r w:rsidRPr="00F17CAF">
        <w:rPr>
          <w:sz w:val="24"/>
          <w:szCs w:val="24"/>
        </w:rPr>
        <w:t xml:space="preserve">In the rule, the State agency administrative responsibilities section (7 CFR 226.6) is described as a </w:t>
      </w:r>
      <w:r w:rsidR="00546B9D" w:rsidRPr="00F17CAF">
        <w:rPr>
          <w:sz w:val="24"/>
          <w:szCs w:val="24"/>
        </w:rPr>
        <w:t xml:space="preserve">corresponding change </w:t>
      </w:r>
      <w:r w:rsidR="00801615" w:rsidRPr="00F17CAF">
        <w:rPr>
          <w:sz w:val="24"/>
          <w:szCs w:val="24"/>
        </w:rPr>
        <w:t>to facilitate the new annual eligibility determin</w:t>
      </w:r>
      <w:r w:rsidR="003E3496" w:rsidRPr="00F17CAF">
        <w:rPr>
          <w:sz w:val="24"/>
          <w:szCs w:val="24"/>
        </w:rPr>
        <w:t xml:space="preserve">ation.  There are concerns that </w:t>
      </w:r>
      <w:r w:rsidR="00801615" w:rsidRPr="00F17CAF">
        <w:rPr>
          <w:sz w:val="24"/>
          <w:szCs w:val="24"/>
        </w:rPr>
        <w:t xml:space="preserve">this aspect of the rule could potentially </w:t>
      </w:r>
      <w:bookmarkStart w:id="16" w:name="_Hlk531140344"/>
      <w:r w:rsidR="00801615" w:rsidRPr="00F17CAF">
        <w:rPr>
          <w:sz w:val="24"/>
          <w:szCs w:val="24"/>
        </w:rPr>
        <w:t>produce</w:t>
      </w:r>
      <w:r w:rsidR="00274BE4" w:rsidRPr="00F17CAF">
        <w:rPr>
          <w:sz w:val="24"/>
          <w:szCs w:val="24"/>
        </w:rPr>
        <w:t xml:space="preserve"> unintended negative consequences</w:t>
      </w:r>
      <w:r w:rsidR="00801615" w:rsidRPr="00F17CAF">
        <w:rPr>
          <w:sz w:val="24"/>
          <w:szCs w:val="24"/>
        </w:rPr>
        <w:t xml:space="preserve">. </w:t>
      </w:r>
      <w:r w:rsidR="00274BE4" w:rsidRPr="00F17CAF">
        <w:rPr>
          <w:sz w:val="24"/>
          <w:szCs w:val="24"/>
        </w:rPr>
        <w:t xml:space="preserve"> </w:t>
      </w:r>
      <w:r w:rsidR="00520E2C" w:rsidRPr="00F17CAF">
        <w:rPr>
          <w:sz w:val="24"/>
          <w:szCs w:val="24"/>
        </w:rPr>
        <w:t xml:space="preserve">For this reason, we recommend USDA modify the proposed new State agency administrative responsibilities section to clarify that implementation is not expected to generate significant new annual paperwork, documentation or auditing requirements related to annual eligibility.  </w:t>
      </w:r>
      <w:r w:rsidR="00801615" w:rsidRPr="00F17CAF">
        <w:rPr>
          <w:sz w:val="24"/>
          <w:szCs w:val="24"/>
        </w:rPr>
        <w:t>Stakeholder comments can</w:t>
      </w:r>
      <w:r w:rsidR="00274BE4" w:rsidRPr="00F17CAF">
        <w:rPr>
          <w:sz w:val="24"/>
          <w:szCs w:val="24"/>
        </w:rPr>
        <w:t xml:space="preserve"> inform needed modifications and clarifications</w:t>
      </w:r>
      <w:r w:rsidR="00801615" w:rsidRPr="00F17CAF">
        <w:rPr>
          <w:sz w:val="24"/>
          <w:szCs w:val="24"/>
        </w:rPr>
        <w:t>.</w:t>
      </w:r>
      <w:r w:rsidR="00274BE4" w:rsidRPr="00F17CAF">
        <w:rPr>
          <w:sz w:val="24"/>
          <w:szCs w:val="24"/>
        </w:rPr>
        <w:t xml:space="preserve"> </w:t>
      </w:r>
    </w:p>
    <w:p w14:paraId="59CF9658" w14:textId="77777777" w:rsidR="00274BE4" w:rsidRPr="00F17CAF" w:rsidRDefault="00274BE4" w:rsidP="00274BE4">
      <w:pPr>
        <w:pStyle w:val="NoSpacing"/>
        <w:rPr>
          <w:sz w:val="24"/>
          <w:szCs w:val="24"/>
        </w:rPr>
      </w:pPr>
      <w:bookmarkStart w:id="17" w:name="_Hlk531140538"/>
      <w:bookmarkEnd w:id="16"/>
    </w:p>
    <w:bookmarkEnd w:id="17"/>
    <w:p w14:paraId="0BC7A08A" w14:textId="77777777" w:rsidR="00D11E02" w:rsidRPr="00F17CAF" w:rsidRDefault="00D11E02" w:rsidP="00D11E02">
      <w:pPr>
        <w:pStyle w:val="NoSpacing"/>
        <w:rPr>
          <w:b/>
          <w:sz w:val="24"/>
          <w:szCs w:val="24"/>
        </w:rPr>
      </w:pPr>
      <w:r w:rsidRPr="00F17CAF">
        <w:rPr>
          <w:b/>
          <w:sz w:val="24"/>
          <w:szCs w:val="24"/>
        </w:rPr>
        <w:t>Conclusion</w:t>
      </w:r>
    </w:p>
    <w:p w14:paraId="5B8944EB" w14:textId="0960976D" w:rsidR="003E3496" w:rsidRPr="00F17CAF" w:rsidRDefault="003E3496" w:rsidP="003E3496">
      <w:pPr>
        <w:pStyle w:val="NoSpacing"/>
        <w:rPr>
          <w:sz w:val="24"/>
          <w:szCs w:val="24"/>
        </w:rPr>
      </w:pPr>
      <w:r w:rsidRPr="00F17CAF">
        <w:rPr>
          <w:sz w:val="24"/>
          <w:szCs w:val="24"/>
        </w:rPr>
        <w:t>In summary, we strongly endorse the need for a final rule to maximize the power of this deregulatory action by fully implement the Paperwork Reduction Work Group’s recommendations for streamlining payment and reporting requirements for all centers and establishing annual eligibility for for-profit centers. We appreciate USDA’s continued commitment to dialogue with a broad range of stakeholders.</w:t>
      </w:r>
    </w:p>
    <w:p w14:paraId="3C25C117" w14:textId="77777777" w:rsidR="003E3496" w:rsidRPr="00F17CAF" w:rsidRDefault="003E3496" w:rsidP="003E3496">
      <w:pPr>
        <w:pStyle w:val="NoSpacing"/>
        <w:rPr>
          <w:sz w:val="24"/>
          <w:szCs w:val="24"/>
        </w:rPr>
      </w:pPr>
    </w:p>
    <w:p w14:paraId="5728FD8E" w14:textId="77777777" w:rsidR="00D11E02" w:rsidRPr="00520E2C" w:rsidRDefault="00D11E02" w:rsidP="00D11E02">
      <w:pPr>
        <w:pStyle w:val="NoSpacing"/>
        <w:rPr>
          <w:sz w:val="24"/>
          <w:szCs w:val="24"/>
        </w:rPr>
      </w:pPr>
      <w:r w:rsidRPr="00F17CAF">
        <w:rPr>
          <w:sz w:val="24"/>
          <w:szCs w:val="24"/>
        </w:rPr>
        <w:t>Sincerely,</w:t>
      </w:r>
    </w:p>
    <w:p w14:paraId="5A941776" w14:textId="77777777" w:rsidR="00D11E02" w:rsidRPr="00520E2C" w:rsidRDefault="00D11E02" w:rsidP="00D11E02">
      <w:pPr>
        <w:pStyle w:val="NoSpacing"/>
        <w:rPr>
          <w:sz w:val="24"/>
          <w:szCs w:val="24"/>
        </w:rPr>
      </w:pPr>
    </w:p>
    <w:p w14:paraId="7E54F2C3" w14:textId="77777777" w:rsidR="00B75133" w:rsidRDefault="00B75133"/>
    <w:sectPr w:rsidR="00B751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A5EEA" w14:textId="77777777" w:rsidR="001207DE" w:rsidRDefault="001207DE" w:rsidP="006E2292">
      <w:pPr>
        <w:spacing w:after="0" w:line="240" w:lineRule="auto"/>
      </w:pPr>
      <w:r>
        <w:separator/>
      </w:r>
    </w:p>
  </w:endnote>
  <w:endnote w:type="continuationSeparator" w:id="0">
    <w:p w14:paraId="738D68E3" w14:textId="77777777" w:rsidR="001207DE" w:rsidRDefault="001207DE" w:rsidP="006E2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194265"/>
      <w:docPartObj>
        <w:docPartGallery w:val="Page Numbers (Bottom of Page)"/>
        <w:docPartUnique/>
      </w:docPartObj>
    </w:sdtPr>
    <w:sdtEndPr>
      <w:rPr>
        <w:noProof/>
      </w:rPr>
    </w:sdtEndPr>
    <w:sdtContent>
      <w:p w14:paraId="797D0B9D" w14:textId="4DF9552A" w:rsidR="002E7B88" w:rsidRDefault="002E7B88">
        <w:pPr>
          <w:pStyle w:val="Footer"/>
          <w:jc w:val="right"/>
        </w:pPr>
        <w:r>
          <w:fldChar w:fldCharType="begin"/>
        </w:r>
        <w:r>
          <w:instrText xml:space="preserve"> PAGE   \* MERGEFORMAT </w:instrText>
        </w:r>
        <w:r>
          <w:fldChar w:fldCharType="separate"/>
        </w:r>
        <w:r w:rsidR="00B3140D">
          <w:rPr>
            <w:noProof/>
          </w:rPr>
          <w:t>2</w:t>
        </w:r>
        <w:r>
          <w:rPr>
            <w:noProof/>
          </w:rPr>
          <w:fldChar w:fldCharType="end"/>
        </w:r>
      </w:p>
    </w:sdtContent>
  </w:sdt>
  <w:p w14:paraId="4AE588E9" w14:textId="77777777" w:rsidR="006E2292" w:rsidRDefault="006E2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1302D" w14:textId="77777777" w:rsidR="001207DE" w:rsidRDefault="001207DE" w:rsidP="006E2292">
      <w:pPr>
        <w:spacing w:after="0" w:line="240" w:lineRule="auto"/>
      </w:pPr>
      <w:r>
        <w:separator/>
      </w:r>
    </w:p>
  </w:footnote>
  <w:footnote w:type="continuationSeparator" w:id="0">
    <w:p w14:paraId="3E89B015" w14:textId="77777777" w:rsidR="001207DE" w:rsidRDefault="001207DE" w:rsidP="006E22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A01C0"/>
    <w:multiLevelType w:val="hybridMultilevel"/>
    <w:tmpl w:val="6F768132"/>
    <w:lvl w:ilvl="0" w:tplc="04090015">
      <w:start w:val="1"/>
      <w:numFmt w:val="upperLetter"/>
      <w:lvlText w:val="%1."/>
      <w:lvlJc w:val="left"/>
      <w:pPr>
        <w:ind w:left="720" w:hanging="360"/>
      </w:pPr>
    </w:lvl>
    <w:lvl w:ilvl="1" w:tplc="FC9CAE5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0595B"/>
    <w:multiLevelType w:val="hybridMultilevel"/>
    <w:tmpl w:val="6026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D1118"/>
    <w:multiLevelType w:val="hybridMultilevel"/>
    <w:tmpl w:val="098A5D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93358"/>
    <w:multiLevelType w:val="hybridMultilevel"/>
    <w:tmpl w:val="FC1A0EDA"/>
    <w:lvl w:ilvl="0" w:tplc="04090015">
      <w:start w:val="1"/>
      <w:numFmt w:val="upperLetter"/>
      <w:lvlText w:val="%1."/>
      <w:lvlJc w:val="left"/>
      <w:pPr>
        <w:ind w:left="720" w:hanging="360"/>
      </w:pPr>
    </w:lvl>
    <w:lvl w:ilvl="1" w:tplc="FC9CAE5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93B22"/>
    <w:multiLevelType w:val="hybridMultilevel"/>
    <w:tmpl w:val="B1C8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547F6"/>
    <w:multiLevelType w:val="hybridMultilevel"/>
    <w:tmpl w:val="677C68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B1BC5"/>
    <w:multiLevelType w:val="hybridMultilevel"/>
    <w:tmpl w:val="FC1A0EDA"/>
    <w:lvl w:ilvl="0" w:tplc="04090015">
      <w:start w:val="1"/>
      <w:numFmt w:val="upperLetter"/>
      <w:lvlText w:val="%1."/>
      <w:lvlJc w:val="left"/>
      <w:pPr>
        <w:ind w:left="720" w:hanging="360"/>
      </w:pPr>
    </w:lvl>
    <w:lvl w:ilvl="1" w:tplc="FC9CAE5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E27B5"/>
    <w:multiLevelType w:val="hybridMultilevel"/>
    <w:tmpl w:val="576C3CE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C34EA"/>
    <w:multiLevelType w:val="hybridMultilevel"/>
    <w:tmpl w:val="858CF31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791260"/>
    <w:multiLevelType w:val="hybridMultilevel"/>
    <w:tmpl w:val="84CE5B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54E08"/>
    <w:multiLevelType w:val="hybridMultilevel"/>
    <w:tmpl w:val="9C1A1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D0A0D"/>
    <w:multiLevelType w:val="hybridMultilevel"/>
    <w:tmpl w:val="9BBAD2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36B6D"/>
    <w:multiLevelType w:val="hybridMultilevel"/>
    <w:tmpl w:val="4EC677E6"/>
    <w:lvl w:ilvl="0" w:tplc="04090015">
      <w:start w:val="1"/>
      <w:numFmt w:val="upperLetter"/>
      <w:lvlText w:val="%1."/>
      <w:lvlJc w:val="left"/>
      <w:pPr>
        <w:ind w:left="720" w:hanging="360"/>
      </w:pPr>
    </w:lvl>
    <w:lvl w:ilvl="1" w:tplc="FC9CAE5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5610AD"/>
    <w:multiLevelType w:val="hybridMultilevel"/>
    <w:tmpl w:val="C54A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5E120B"/>
    <w:multiLevelType w:val="hybridMultilevel"/>
    <w:tmpl w:val="A474A9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9F2AE1"/>
    <w:multiLevelType w:val="hybridMultilevel"/>
    <w:tmpl w:val="8CB22C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7707B"/>
    <w:multiLevelType w:val="hybridMultilevel"/>
    <w:tmpl w:val="A7A6F4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216DB8"/>
    <w:multiLevelType w:val="hybridMultilevel"/>
    <w:tmpl w:val="3F5AE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3"/>
  </w:num>
  <w:num w:numId="4">
    <w:abstractNumId w:val="1"/>
  </w:num>
  <w:num w:numId="5">
    <w:abstractNumId w:val="17"/>
  </w:num>
  <w:num w:numId="6">
    <w:abstractNumId w:val="10"/>
  </w:num>
  <w:num w:numId="7">
    <w:abstractNumId w:val="2"/>
  </w:num>
  <w:num w:numId="8">
    <w:abstractNumId w:val="15"/>
  </w:num>
  <w:num w:numId="9">
    <w:abstractNumId w:val="14"/>
  </w:num>
  <w:num w:numId="10">
    <w:abstractNumId w:val="7"/>
  </w:num>
  <w:num w:numId="11">
    <w:abstractNumId w:val="5"/>
  </w:num>
  <w:num w:numId="12">
    <w:abstractNumId w:val="16"/>
  </w:num>
  <w:num w:numId="13">
    <w:abstractNumId w:val="0"/>
  </w:num>
  <w:num w:numId="14">
    <w:abstractNumId w:val="8"/>
  </w:num>
  <w:num w:numId="15">
    <w:abstractNumId w:val="11"/>
  </w:num>
  <w:num w:numId="16">
    <w:abstractNumId w:val="12"/>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E02"/>
    <w:rsid w:val="0000160E"/>
    <w:rsid w:val="000026E9"/>
    <w:rsid w:val="0002713C"/>
    <w:rsid w:val="00034F92"/>
    <w:rsid w:val="00037268"/>
    <w:rsid w:val="00045EC1"/>
    <w:rsid w:val="000508E7"/>
    <w:rsid w:val="00061AA6"/>
    <w:rsid w:val="000916FD"/>
    <w:rsid w:val="000B0DFA"/>
    <w:rsid w:val="000E565E"/>
    <w:rsid w:val="00100B73"/>
    <w:rsid w:val="001207DE"/>
    <w:rsid w:val="00131630"/>
    <w:rsid w:val="00135B9B"/>
    <w:rsid w:val="00153709"/>
    <w:rsid w:val="00175B8C"/>
    <w:rsid w:val="00176671"/>
    <w:rsid w:val="0019121F"/>
    <w:rsid w:val="001C3887"/>
    <w:rsid w:val="0023202B"/>
    <w:rsid w:val="00237EE1"/>
    <w:rsid w:val="00265C6A"/>
    <w:rsid w:val="002717D3"/>
    <w:rsid w:val="00272CF3"/>
    <w:rsid w:val="00274BE4"/>
    <w:rsid w:val="002A3B96"/>
    <w:rsid w:val="002B6258"/>
    <w:rsid w:val="002D07DD"/>
    <w:rsid w:val="002E2724"/>
    <w:rsid w:val="002E7B88"/>
    <w:rsid w:val="0036596A"/>
    <w:rsid w:val="0036650E"/>
    <w:rsid w:val="00391252"/>
    <w:rsid w:val="003D7708"/>
    <w:rsid w:val="003E3496"/>
    <w:rsid w:val="003F6092"/>
    <w:rsid w:val="00447343"/>
    <w:rsid w:val="004738AC"/>
    <w:rsid w:val="00482127"/>
    <w:rsid w:val="004860AB"/>
    <w:rsid w:val="004935D0"/>
    <w:rsid w:val="004F4944"/>
    <w:rsid w:val="005112D2"/>
    <w:rsid w:val="00512015"/>
    <w:rsid w:val="00512398"/>
    <w:rsid w:val="00513AF0"/>
    <w:rsid w:val="00520E2C"/>
    <w:rsid w:val="00536D89"/>
    <w:rsid w:val="00546B9D"/>
    <w:rsid w:val="0057545D"/>
    <w:rsid w:val="005762F5"/>
    <w:rsid w:val="005C0812"/>
    <w:rsid w:val="005E749B"/>
    <w:rsid w:val="005F537E"/>
    <w:rsid w:val="006052FD"/>
    <w:rsid w:val="00657726"/>
    <w:rsid w:val="00671964"/>
    <w:rsid w:val="00694F67"/>
    <w:rsid w:val="006967DD"/>
    <w:rsid w:val="006B04BF"/>
    <w:rsid w:val="006C5275"/>
    <w:rsid w:val="006D1343"/>
    <w:rsid w:val="006E2292"/>
    <w:rsid w:val="006F1726"/>
    <w:rsid w:val="007258F6"/>
    <w:rsid w:val="00756C84"/>
    <w:rsid w:val="00766A48"/>
    <w:rsid w:val="007A4905"/>
    <w:rsid w:val="007C10EE"/>
    <w:rsid w:val="007C6B6B"/>
    <w:rsid w:val="007C72C6"/>
    <w:rsid w:val="007F1F28"/>
    <w:rsid w:val="00801615"/>
    <w:rsid w:val="008023AE"/>
    <w:rsid w:val="0080575A"/>
    <w:rsid w:val="008200AE"/>
    <w:rsid w:val="00826B0F"/>
    <w:rsid w:val="0083288B"/>
    <w:rsid w:val="008877ED"/>
    <w:rsid w:val="008944C9"/>
    <w:rsid w:val="008A467A"/>
    <w:rsid w:val="008D7BBF"/>
    <w:rsid w:val="00955049"/>
    <w:rsid w:val="00955B5D"/>
    <w:rsid w:val="009574CA"/>
    <w:rsid w:val="00982884"/>
    <w:rsid w:val="009862EA"/>
    <w:rsid w:val="009B1CA8"/>
    <w:rsid w:val="009B3D33"/>
    <w:rsid w:val="009C1208"/>
    <w:rsid w:val="009C2EF3"/>
    <w:rsid w:val="009F5718"/>
    <w:rsid w:val="00A30CBC"/>
    <w:rsid w:val="00A33578"/>
    <w:rsid w:val="00A44252"/>
    <w:rsid w:val="00A478EB"/>
    <w:rsid w:val="00A60AE7"/>
    <w:rsid w:val="00A76BB2"/>
    <w:rsid w:val="00A978EB"/>
    <w:rsid w:val="00AC33C0"/>
    <w:rsid w:val="00AD3EB6"/>
    <w:rsid w:val="00AE615A"/>
    <w:rsid w:val="00B2266A"/>
    <w:rsid w:val="00B22F1A"/>
    <w:rsid w:val="00B3140D"/>
    <w:rsid w:val="00B33B53"/>
    <w:rsid w:val="00B6763B"/>
    <w:rsid w:val="00B75133"/>
    <w:rsid w:val="00B76297"/>
    <w:rsid w:val="00B94AF4"/>
    <w:rsid w:val="00BC3AC6"/>
    <w:rsid w:val="00C218E0"/>
    <w:rsid w:val="00C32075"/>
    <w:rsid w:val="00D11E02"/>
    <w:rsid w:val="00D20D39"/>
    <w:rsid w:val="00D41F87"/>
    <w:rsid w:val="00D44AA1"/>
    <w:rsid w:val="00D47F81"/>
    <w:rsid w:val="00D73B1D"/>
    <w:rsid w:val="00D75B03"/>
    <w:rsid w:val="00D823E0"/>
    <w:rsid w:val="00D87720"/>
    <w:rsid w:val="00DC028F"/>
    <w:rsid w:val="00E16AB1"/>
    <w:rsid w:val="00EA6A3B"/>
    <w:rsid w:val="00EB5FAC"/>
    <w:rsid w:val="00EC05AC"/>
    <w:rsid w:val="00EC12A9"/>
    <w:rsid w:val="00EE7D9E"/>
    <w:rsid w:val="00EF2F54"/>
    <w:rsid w:val="00EF60E7"/>
    <w:rsid w:val="00F01256"/>
    <w:rsid w:val="00F17CAF"/>
    <w:rsid w:val="00F72DA3"/>
    <w:rsid w:val="00F81FEF"/>
    <w:rsid w:val="00FE2257"/>
    <w:rsid w:val="00FF3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7970D"/>
  <w15:docId w15:val="{94FA28E8-1519-4F44-ACF9-02E82DF8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1E02"/>
    <w:pPr>
      <w:spacing w:after="0" w:line="240" w:lineRule="auto"/>
    </w:pPr>
  </w:style>
  <w:style w:type="paragraph" w:styleId="ListParagraph">
    <w:name w:val="List Paragraph"/>
    <w:basedOn w:val="Normal"/>
    <w:uiPriority w:val="34"/>
    <w:qFormat/>
    <w:rsid w:val="008200AE"/>
    <w:pPr>
      <w:ind w:left="720"/>
      <w:contextualSpacing/>
    </w:pPr>
  </w:style>
  <w:style w:type="paragraph" w:styleId="Header">
    <w:name w:val="header"/>
    <w:basedOn w:val="Normal"/>
    <w:link w:val="HeaderChar"/>
    <w:uiPriority w:val="99"/>
    <w:unhideWhenUsed/>
    <w:rsid w:val="006E2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292"/>
  </w:style>
  <w:style w:type="paragraph" w:styleId="Footer">
    <w:name w:val="footer"/>
    <w:basedOn w:val="Normal"/>
    <w:link w:val="FooterChar"/>
    <w:uiPriority w:val="99"/>
    <w:unhideWhenUsed/>
    <w:rsid w:val="006E2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292"/>
  </w:style>
  <w:style w:type="character" w:styleId="CommentReference">
    <w:name w:val="annotation reference"/>
    <w:basedOn w:val="DefaultParagraphFont"/>
    <w:uiPriority w:val="99"/>
    <w:semiHidden/>
    <w:unhideWhenUsed/>
    <w:rsid w:val="009B3D33"/>
    <w:rPr>
      <w:sz w:val="16"/>
      <w:szCs w:val="16"/>
    </w:rPr>
  </w:style>
  <w:style w:type="paragraph" w:styleId="CommentText">
    <w:name w:val="annotation text"/>
    <w:basedOn w:val="Normal"/>
    <w:link w:val="CommentTextChar"/>
    <w:uiPriority w:val="99"/>
    <w:semiHidden/>
    <w:unhideWhenUsed/>
    <w:rsid w:val="009B3D33"/>
    <w:pPr>
      <w:spacing w:line="240" w:lineRule="auto"/>
    </w:pPr>
    <w:rPr>
      <w:sz w:val="20"/>
      <w:szCs w:val="20"/>
    </w:rPr>
  </w:style>
  <w:style w:type="character" w:customStyle="1" w:styleId="CommentTextChar">
    <w:name w:val="Comment Text Char"/>
    <w:basedOn w:val="DefaultParagraphFont"/>
    <w:link w:val="CommentText"/>
    <w:uiPriority w:val="99"/>
    <w:semiHidden/>
    <w:rsid w:val="009B3D33"/>
    <w:rPr>
      <w:sz w:val="20"/>
      <w:szCs w:val="20"/>
    </w:rPr>
  </w:style>
  <w:style w:type="paragraph" w:styleId="CommentSubject">
    <w:name w:val="annotation subject"/>
    <w:basedOn w:val="CommentText"/>
    <w:next w:val="CommentText"/>
    <w:link w:val="CommentSubjectChar"/>
    <w:uiPriority w:val="99"/>
    <w:semiHidden/>
    <w:unhideWhenUsed/>
    <w:rsid w:val="009B3D33"/>
    <w:rPr>
      <w:b/>
      <w:bCs/>
    </w:rPr>
  </w:style>
  <w:style w:type="character" w:customStyle="1" w:styleId="CommentSubjectChar">
    <w:name w:val="Comment Subject Char"/>
    <w:basedOn w:val="CommentTextChar"/>
    <w:link w:val="CommentSubject"/>
    <w:uiPriority w:val="99"/>
    <w:semiHidden/>
    <w:rsid w:val="009B3D33"/>
    <w:rPr>
      <w:b/>
      <w:bCs/>
      <w:sz w:val="20"/>
      <w:szCs w:val="20"/>
    </w:rPr>
  </w:style>
  <w:style w:type="paragraph" w:styleId="Revision">
    <w:name w:val="Revision"/>
    <w:hidden/>
    <w:uiPriority w:val="99"/>
    <w:semiHidden/>
    <w:rsid w:val="009B3D33"/>
    <w:pPr>
      <w:spacing w:after="0" w:line="240" w:lineRule="auto"/>
    </w:pPr>
  </w:style>
  <w:style w:type="paragraph" w:styleId="BalloonText">
    <w:name w:val="Balloon Text"/>
    <w:basedOn w:val="Normal"/>
    <w:link w:val="BalloonTextChar"/>
    <w:uiPriority w:val="99"/>
    <w:semiHidden/>
    <w:unhideWhenUsed/>
    <w:rsid w:val="009B3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D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7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393885F-6F98-49D8-8EC5-F928B85FA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2200</Words>
  <Characters>12544</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ghenchy</dc:creator>
  <cp:lastModifiedBy>Mike Ambrose</cp:lastModifiedBy>
  <cp:revision>2</cp:revision>
  <cp:lastPrinted>2018-11-27T23:12:00Z</cp:lastPrinted>
  <dcterms:created xsi:type="dcterms:W3CDTF">2018-12-03T15:32:00Z</dcterms:created>
  <dcterms:modified xsi:type="dcterms:W3CDTF">2018-12-03T15:32:00Z</dcterms:modified>
</cp:coreProperties>
</file>